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6FF427AF" w:rsidP="32459100" w:rsidRDefault="6FF427AF" w14:paraId="0A4029C3" w14:textId="7BC074B8">
      <w:pPr>
        <w:pStyle w:val="Normal"/>
        <w:bidi w:val="0"/>
        <w:spacing w:before="0" w:beforeAutospacing="off" w:after="160" w:afterAutospacing="off" w:line="259" w:lineRule="auto"/>
        <w:ind w:left="0" w:right="0"/>
        <w:jc w:val="left"/>
      </w:pPr>
      <w:r w:rsidR="26C935AE">
        <w:drawing>
          <wp:inline wp14:editId="2AA0016A" wp14:anchorId="774C9F91">
            <wp:extent cx="2105025" cy="1143000"/>
            <wp:effectExtent l="0" t="0" r="0" b="0"/>
            <wp:docPr id="989430143" name="" title=""/>
            <wp:cNvGraphicFramePr>
              <a:graphicFrameLocks noChangeAspect="1"/>
            </wp:cNvGraphicFramePr>
            <a:graphic>
              <a:graphicData uri="http://schemas.openxmlformats.org/drawingml/2006/picture">
                <pic:pic>
                  <pic:nvPicPr>
                    <pic:cNvPr id="0" name=""/>
                    <pic:cNvPicPr/>
                  </pic:nvPicPr>
                  <pic:blipFill>
                    <a:blip r:embed="R2b9f85eee6a7417d">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105025" cy="1143000"/>
                    </a:xfrm>
                    <a:prstGeom prst="rect">
                      <a:avLst/>
                    </a:prstGeom>
                  </pic:spPr>
                </pic:pic>
              </a:graphicData>
            </a:graphic>
          </wp:inline>
        </w:drawing>
      </w:r>
      <w:r>
        <w:br/>
      </w:r>
    </w:p>
    <w:p w:rsidR="6FF427AF" w:rsidP="30FB4201" w:rsidRDefault="6FF427AF" w14:paraId="408EB263" w14:textId="33D72E4C">
      <w:pPr>
        <w:pStyle w:val="Normal"/>
        <w:suppressLineNumbers w:val="0"/>
        <w:bidi w:val="0"/>
        <w:spacing w:before="0" w:beforeAutospacing="off" w:after="160" w:afterAutospacing="off" w:line="259" w:lineRule="auto"/>
        <w:ind w:left="0" w:right="0"/>
        <w:jc w:val="left"/>
        <w:rPr>
          <w:rFonts w:ascii="Arial" w:hAnsi="Arial" w:eastAsia="Arial" w:cs="Arial"/>
          <w:b w:val="1"/>
          <w:bCs w:val="1"/>
          <w:i w:val="1"/>
          <w:iCs w:val="1"/>
          <w:caps w:val="0"/>
          <w:smallCaps w:val="0"/>
          <w:noProof w:val="0"/>
          <w:color w:val="152E9F"/>
          <w:sz w:val="24"/>
          <w:szCs w:val="24"/>
          <w:lang w:val="en-US"/>
        </w:rPr>
      </w:pPr>
      <w:r w:rsidRPr="30FB4201" w:rsidR="19388ED4">
        <w:rPr>
          <w:rFonts w:ascii="Arial" w:hAnsi="Arial" w:eastAsia="Arial" w:cs="Arial"/>
          <w:b w:val="1"/>
          <w:bCs w:val="1"/>
          <w:i w:val="1"/>
          <w:iCs w:val="1"/>
          <w:caps w:val="0"/>
          <w:smallCaps w:val="0"/>
          <w:noProof w:val="0"/>
          <w:color w:val="152E9F"/>
          <w:sz w:val="24"/>
          <w:szCs w:val="24"/>
          <w:lang w:val="en-US"/>
        </w:rPr>
        <w:t xml:space="preserve">Tips and methods for </w:t>
      </w:r>
      <w:r w:rsidRPr="30FB4201" w:rsidR="19388ED4">
        <w:rPr>
          <w:rFonts w:ascii="Arial" w:hAnsi="Arial" w:eastAsia="Arial" w:cs="Arial"/>
          <w:b w:val="1"/>
          <w:bCs w:val="1"/>
          <w:i w:val="1"/>
          <w:iCs w:val="1"/>
          <w:caps w:val="0"/>
          <w:smallCaps w:val="0"/>
          <w:noProof w:val="0"/>
          <w:color w:val="152E9F"/>
          <w:sz w:val="24"/>
          <w:szCs w:val="24"/>
          <w:lang w:val="en-US"/>
        </w:rPr>
        <w:t>identifying</w:t>
      </w:r>
      <w:r w:rsidRPr="30FB4201" w:rsidR="19388ED4">
        <w:rPr>
          <w:rFonts w:ascii="Arial" w:hAnsi="Arial" w:eastAsia="Arial" w:cs="Arial"/>
          <w:b w:val="1"/>
          <w:bCs w:val="1"/>
          <w:i w:val="1"/>
          <w:iCs w:val="1"/>
          <w:caps w:val="0"/>
          <w:smallCaps w:val="0"/>
          <w:noProof w:val="0"/>
          <w:color w:val="152E9F"/>
          <w:sz w:val="24"/>
          <w:szCs w:val="24"/>
          <w:lang w:val="en-US"/>
        </w:rPr>
        <w:t xml:space="preserve"> program-relevant locations</w:t>
      </w:r>
    </w:p>
    <w:p w:rsidR="6FF427AF" w:rsidP="30FB4201" w:rsidRDefault="6FF427AF" w14:paraId="3AEE335D" w14:textId="6A0800C1">
      <w:pPr>
        <w:bidi w:val="0"/>
        <w:spacing w:before="0" w:beforeAutospacing="off" w:after="160" w:afterAutospacing="off" w:line="259" w:lineRule="auto"/>
        <w:ind/>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 xml:space="preserve">Not all programs will have already identified and digitized their program-relevant locations in a format that is readable by GIS software. If this is the case, teams can consider </w:t>
      </w:r>
      <w:r w:rsidRPr="30FB4201" w:rsidR="19388ED4">
        <w:rPr>
          <w:rFonts w:ascii="Arial" w:hAnsi="Arial" w:eastAsia="Arial" w:cs="Arial"/>
          <w:b w:val="0"/>
          <w:bCs w:val="0"/>
          <w:i w:val="1"/>
          <w:iCs w:val="1"/>
          <w:caps w:val="0"/>
          <w:smallCaps w:val="0"/>
          <w:noProof w:val="0"/>
          <w:color w:val="000000" w:themeColor="text1" w:themeTint="FF" w:themeShade="FF"/>
          <w:sz w:val="22"/>
          <w:szCs w:val="22"/>
          <w:lang w:val="en-US"/>
        </w:rPr>
        <w:t>mixed-method mapping</w:t>
      </w: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 xml:space="preserve"> or </w:t>
      </w:r>
      <w:r w:rsidRPr="30FB4201" w:rsidR="19388ED4">
        <w:rPr>
          <w:rFonts w:ascii="Arial" w:hAnsi="Arial" w:eastAsia="Arial" w:cs="Arial"/>
          <w:b w:val="0"/>
          <w:bCs w:val="0"/>
          <w:i w:val="1"/>
          <w:iCs w:val="1"/>
          <w:caps w:val="0"/>
          <w:smallCaps w:val="0"/>
          <w:noProof w:val="0"/>
          <w:color w:val="000000" w:themeColor="text1" w:themeTint="FF" w:themeShade="FF"/>
          <w:sz w:val="22"/>
          <w:szCs w:val="22"/>
          <w:lang w:val="en-US"/>
        </w:rPr>
        <w:t xml:space="preserve">participatory mapping </w:t>
      </w: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to create this data.</w:t>
      </w:r>
    </w:p>
    <w:p w:rsidR="6FF427AF" w:rsidP="30FB4201" w:rsidRDefault="6FF427AF" w14:paraId="5BAA4E7A" w14:textId="38464A72">
      <w:pPr>
        <w:bidi w:val="0"/>
        <w:spacing w:before="0" w:beforeAutospacing="off" w:after="160" w:afterAutospacing="off" w:line="259" w:lineRule="auto"/>
        <w:ind/>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30FB4201" w:rsidR="19388ED4">
        <w:rPr>
          <w:rFonts w:ascii="Arial" w:hAnsi="Arial" w:eastAsia="Arial" w:cs="Arial"/>
          <w:b w:val="1"/>
          <w:bCs w:val="1"/>
          <w:i w:val="0"/>
          <w:iCs w:val="0"/>
          <w:caps w:val="0"/>
          <w:smallCaps w:val="0"/>
          <w:strike w:val="0"/>
          <w:dstrike w:val="0"/>
          <w:noProof w:val="0"/>
          <w:color w:val="000000" w:themeColor="text1" w:themeTint="FF" w:themeShade="FF"/>
          <w:sz w:val="24"/>
          <w:szCs w:val="24"/>
          <w:u w:val="single"/>
          <w:lang w:val="en-US"/>
        </w:rPr>
        <w:t>Mixed-method mapping methodology</w:t>
      </w:r>
    </w:p>
    <w:p w:rsidR="6FF427AF" w:rsidP="30FB4201" w:rsidRDefault="6FF427AF" w14:paraId="18DC01B2" w14:textId="289FF5B8">
      <w:pPr>
        <w:bidi w:val="0"/>
        <w:spacing w:before="0" w:beforeAutospacing="off" w:after="160" w:afterAutospacing="off" w:line="259" w:lineRule="auto"/>
        <w:ind w:left="0" w:right="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A mixed method approach should be used to identify program-relevant locations in situations where a team knows it has (or will have) higher than usual access to the program implementation areas for a defined time period or for some staff. This approach consists of 1) a quantitative data collection of the exact GPS points or boundaries of program-relevant locations, 2) Focus Group Discussions (FGDs) to check whether relevant locations have been missed and understand how people access the program-relevant locations.</w:t>
      </w:r>
    </w:p>
    <w:p w:rsidR="6FF427AF" w:rsidP="30FB4201" w:rsidRDefault="6FF427AF" w14:paraId="7CE0EA26" w14:textId="059C0BCE">
      <w:pPr>
        <w:bidi w:val="0"/>
        <w:spacing w:before="0" w:beforeAutospacing="off" w:after="160" w:afterAutospacing="off" w:line="259" w:lineRule="auto"/>
        <w:ind w:left="0" w:right="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 xml:space="preserve">To map program-relevant locations, data collectors should use smartphones loaded with applications like CommCare, KoBo Collect, or other data collection tools to record GPS coordinates and/or boundaries of program-relevant locations. Teams should consult relevant technical experts in their organizations to determine what technology may be needed to capture GIS data and validate or clean it. If culturally appropriate and safe, data collectors should also take a photo of the given location to be attached to the final map. A photo of the location may become useful to document current and future changes in the conditions of the location mapped. </w:t>
      </w:r>
    </w:p>
    <w:p w:rsidR="6FF427AF" w:rsidP="30FB4201" w:rsidRDefault="6FF427AF" w14:paraId="6AF591EC" w14:textId="151294DD">
      <w:pPr>
        <w:bidi w:val="0"/>
        <w:spacing w:before="0" w:beforeAutospacing="off" w:after="160" w:afterAutospacing="off" w:line="259" w:lineRule="auto"/>
        <w:ind w:left="0" w:right="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To ensure the entire area of interest is being mapped, data collectors should be given an area to complete daily and within the data collection period. The area for each data collector to complete should be clearly defined by using grids on a map (e.g., maps.me) or by defining areas using relevant landmarks e.g., rivers, or main and minor roads. As the data collectors are carefully assessing the areas assigned to them, they should open the data collection app every time they identify the program-relevant location they have been assigned to map, record their position using the GPS function in the data collection tool and answer relevant questions related to the structure mapped. Field supervisors should on a daily basis monitor the mapped areas and reassign new areas to the data collector if assigned areas are for some reason impossible to map.</w:t>
      </w:r>
    </w:p>
    <w:p w:rsidR="6FF427AF" w:rsidP="30FB4201" w:rsidRDefault="6FF427AF" w14:paraId="7B66E3F6" w14:textId="2A453304">
      <w:pPr>
        <w:bidi w:val="0"/>
        <w:spacing w:before="0" w:beforeAutospacing="off" w:after="160" w:afterAutospacing="off" w:line="259" w:lineRule="auto"/>
        <w:ind w:left="0" w:right="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For FGDs, a purposive sampling approach should be used. Depending on the type of program-relevant locations the participants should ideally include stakeholders with expertise on what is being mapped. For example, if the objective of the FGD is to support mapping of WASH infrastructures, FGD participants should include population groups culturally known to be responsible for fetching water in the area (often women). The participants for the FGD should be recruited from the area near the mapped location.</w:t>
      </w:r>
    </w:p>
    <w:p w:rsidR="6FF427AF" w:rsidP="30FB4201" w:rsidRDefault="6FF427AF" w14:paraId="5F7061C7" w14:textId="13E26F6F">
      <w:pPr>
        <w:bidi w:val="0"/>
        <w:spacing w:before="0" w:beforeAutospacing="off" w:after="160" w:afterAutospacing="off" w:line="259" w:lineRule="auto"/>
        <w:ind w:left="0" w:right="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The number of participants per FGD group should be 5-8 and, when possible, groups should be disaggregated by gender and age. The participants in each FGD should be from the same area to maintain continuity in the discussion. Where possible, the FGD facilitator should translate the discussions; otherwise, local translators should be hired to translate the discussions. Following the FGDs, hand-written notes and/or recordings should be transcribed and translated where applicable and saved with restricted access. Analysis generated from the FGDs can then be used to either inform additional quantitative GIS data collection, correct errors in the GIS data, or to the GIS data set as contextual information that can be used for mapping</w:t>
      </w:r>
      <w:r w:rsidRPr="30FB4201" w:rsidR="19388ED4">
        <w:rPr>
          <w:rFonts w:ascii="Arial" w:hAnsi="Arial" w:eastAsia="Arial" w:cs="Arial"/>
          <w:b w:val="0"/>
          <w:bCs w:val="0"/>
          <w:i w:val="1"/>
          <w:iCs w:val="1"/>
          <w:caps w:val="0"/>
          <w:smallCaps w:val="0"/>
          <w:noProof w:val="0"/>
          <w:color w:val="000000" w:themeColor="text1" w:themeTint="FF" w:themeShade="FF"/>
          <w:sz w:val="22"/>
          <w:szCs w:val="22"/>
          <w:lang w:val="en-US"/>
        </w:rPr>
        <w:t>.</w:t>
      </w:r>
    </w:p>
    <w:p w:rsidR="6FF427AF" w:rsidP="30FB4201" w:rsidRDefault="6FF427AF" w14:paraId="0EFCFEEB" w14:textId="56971053">
      <w:pPr>
        <w:bidi w:val="0"/>
        <w:spacing w:before="0" w:beforeAutospacing="off" w:after="160" w:afterAutospacing="off" w:line="259" w:lineRule="auto"/>
        <w:ind w:left="0" w:right="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Example: </w:t>
      </w:r>
      <w:hyperlink r:id="R64a5dbe866c6422b">
        <w:r w:rsidRPr="30FB4201" w:rsidR="19388ED4">
          <w:rPr>
            <w:rStyle w:val="Hyperlink"/>
            <w:rFonts w:ascii="Arial" w:hAnsi="Arial" w:eastAsia="Arial" w:cs="Arial"/>
            <w:b w:val="0"/>
            <w:bCs w:val="0"/>
            <w:i w:val="0"/>
            <w:iCs w:val="0"/>
            <w:caps w:val="0"/>
            <w:smallCaps w:val="0"/>
            <w:strike w:val="0"/>
            <w:dstrike w:val="0"/>
            <w:noProof w:val="0"/>
            <w:sz w:val="22"/>
            <w:szCs w:val="22"/>
            <w:lang w:val="en-US"/>
          </w:rPr>
          <w:t>FGD facilitation guidelines and questionnaire</w:t>
        </w:r>
      </w:hyperlink>
    </w:p>
    <w:p w:rsidR="6FF427AF" w:rsidP="30FB4201" w:rsidRDefault="6FF427AF" w14:paraId="3F98DE18" w14:textId="012C6CEB">
      <w:pPr>
        <w:bidi w:val="0"/>
        <w:spacing w:before="0" w:beforeAutospacing="off" w:after="160" w:afterAutospacing="off" w:line="259" w:lineRule="auto"/>
        <w:ind w:left="0" w:right="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 xml:space="preserve">The </w:t>
      </w:r>
      <w:hyperlink r:id="R227386118d034f2a">
        <w:r w:rsidRPr="30FB4201" w:rsidR="19388ED4">
          <w:rPr>
            <w:rStyle w:val="Hyperlink"/>
            <w:rFonts w:ascii="Arial" w:hAnsi="Arial" w:eastAsia="Arial" w:cs="Arial"/>
            <w:b w:val="0"/>
            <w:bCs w:val="0"/>
            <w:i w:val="0"/>
            <w:iCs w:val="0"/>
            <w:caps w:val="0"/>
            <w:smallCaps w:val="0"/>
            <w:strike w:val="0"/>
            <w:dstrike w:val="0"/>
            <w:noProof w:val="0"/>
            <w:sz w:val="22"/>
            <w:szCs w:val="22"/>
            <w:lang w:val="en-US"/>
          </w:rPr>
          <w:t>WASH Infrastructure (REACH Initiative)</w:t>
        </w:r>
      </w:hyperlink>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 xml:space="preserve"> terms of reference can be used as inspiration when developing the data collection tool.</w:t>
      </w:r>
    </w:p>
    <w:p w:rsidR="6FF427AF" w:rsidP="30FB4201" w:rsidRDefault="6FF427AF" w14:paraId="1308352C" w14:textId="1D58D746">
      <w:pPr>
        <w:bidi w:val="0"/>
        <w:spacing w:before="0" w:beforeAutospacing="off" w:after="160" w:afterAutospacing="off" w:line="259" w:lineRule="auto"/>
        <w:ind/>
        <w:jc w:val="both"/>
        <w:rPr>
          <w:rFonts w:ascii="Arial" w:hAnsi="Arial" w:eastAsia="Arial" w:cs="Arial"/>
          <w:b w:val="0"/>
          <w:bCs w:val="0"/>
          <w:i w:val="0"/>
          <w:iCs w:val="0"/>
          <w:caps w:val="0"/>
          <w:smallCaps w:val="0"/>
          <w:noProof w:val="0"/>
          <w:color w:val="000000" w:themeColor="text1" w:themeTint="FF" w:themeShade="FF"/>
          <w:sz w:val="22"/>
          <w:szCs w:val="22"/>
          <w:lang w:val="en-US"/>
        </w:rPr>
      </w:pPr>
    </w:p>
    <w:p w:rsidR="6FF427AF" w:rsidP="30FB4201" w:rsidRDefault="6FF427AF" w14:paraId="044FCEB3" w14:textId="6F1EFE85">
      <w:pPr>
        <w:bidi w:val="0"/>
        <w:spacing w:before="0" w:beforeAutospacing="off" w:after="160" w:afterAutospacing="off" w:line="259" w:lineRule="auto"/>
        <w:ind/>
        <w:jc w:val="left"/>
        <w:rPr>
          <w:rFonts w:ascii="Arial" w:hAnsi="Arial" w:eastAsia="Arial" w:cs="Arial"/>
          <w:b w:val="0"/>
          <w:bCs w:val="0"/>
          <w:i w:val="0"/>
          <w:iCs w:val="0"/>
          <w:caps w:val="0"/>
          <w:smallCaps w:val="0"/>
          <w:noProof w:val="0"/>
          <w:color w:val="000000" w:themeColor="text1" w:themeTint="FF" w:themeShade="FF"/>
          <w:sz w:val="24"/>
          <w:szCs w:val="24"/>
          <w:lang w:val="en-US"/>
        </w:rPr>
      </w:pPr>
      <w:r w:rsidRPr="30FB4201" w:rsidR="19388ED4">
        <w:rPr>
          <w:rFonts w:ascii="Arial" w:hAnsi="Arial" w:eastAsia="Arial" w:cs="Arial"/>
          <w:b w:val="1"/>
          <w:bCs w:val="1"/>
          <w:i w:val="0"/>
          <w:iCs w:val="0"/>
          <w:caps w:val="0"/>
          <w:smallCaps w:val="0"/>
          <w:strike w:val="0"/>
          <w:dstrike w:val="0"/>
          <w:noProof w:val="0"/>
          <w:color w:val="000000" w:themeColor="text1" w:themeTint="FF" w:themeShade="FF"/>
          <w:sz w:val="24"/>
          <w:szCs w:val="24"/>
          <w:u w:val="single"/>
          <w:lang w:val="en-US"/>
        </w:rPr>
        <w:t>Participatory mapping</w:t>
      </w:r>
    </w:p>
    <w:p w:rsidR="6FF427AF" w:rsidP="30FB4201" w:rsidRDefault="6FF427AF" w14:paraId="4443746F" w14:textId="3005B92D">
      <w:pPr>
        <w:bidi w:val="0"/>
        <w:spacing w:before="0" w:beforeAutospacing="off" w:after="160" w:afterAutospacing="off" w:line="259" w:lineRule="auto"/>
        <w:ind/>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 xml:space="preserve">In scenarios where program team members have very little or no access to the area where the program is being implemented, a participatory qualitative mapping approach can be used. </w:t>
      </w:r>
    </w:p>
    <w:p w:rsidR="6FF427AF" w:rsidP="30FB4201" w:rsidRDefault="6FF427AF" w14:paraId="0A1CBC9A" w14:textId="69D1AC10">
      <w:pPr>
        <w:bidi w:val="0"/>
        <w:spacing w:before="0" w:beforeAutospacing="off" w:after="160" w:afterAutospacing="off" w:line="259" w:lineRule="auto"/>
        <w:ind/>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Participatory mapping consists of Focus Group Discussions (FGDs) with respondents who have recently left the inaccessible area (either temporarily or permanently) and who are interviewed in their new location about the conditions in the location they left. For example, community members in the reduced access location may leave it temporarily to access different services or markets, or they may leave it permanently to migrate to another location.</w:t>
      </w:r>
    </w:p>
    <w:p w:rsidR="6FF427AF" w:rsidP="30FB4201" w:rsidRDefault="6FF427AF" w14:paraId="3265CEEC" w14:textId="25CFD1C0">
      <w:pPr>
        <w:bidi w:val="0"/>
        <w:spacing w:before="0" w:beforeAutospacing="off" w:after="160" w:afterAutospacing="off" w:line="259" w:lineRule="auto"/>
        <w:ind w:left="0" w:right="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A purposive and snowball sampling approach should be used for such FGDs. Ideally, the respondents should not have left the reduced access location more than 3 months ago. Depending on the type of locations to be mapped the respondents should include informants with specific relevant knowledge, for example, if the objective of the participatory mapping FGD is to map WASH infrastructures, FGD respondents could include population groups culturally known to be responsible for fetching water in the area (often women), or respondents with technical knowledge about the existing WASH infrastructures in the location of reduced access. The respondents for the FGD should be recruited from arrival points for people arriving from the reduced access location, for instance markets, reception centers or IDP camps.</w:t>
      </w:r>
    </w:p>
    <w:p w:rsidR="6FF427AF" w:rsidP="30FB4201" w:rsidRDefault="6FF427AF" w14:paraId="7FAB48C7" w14:textId="686D2006">
      <w:pPr>
        <w:bidi w:val="0"/>
        <w:spacing w:before="0" w:beforeAutospacing="off" w:after="160" w:afterAutospacing="off" w:line="259" w:lineRule="auto"/>
        <w:ind/>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 xml:space="preserve">The number of respondents per FGD should be 5-8 and when appropriate, separate FGDs should be conducted for women and men, as well as youth and elders. Ideally approximately 10% of the FGDs should include at least one person with a disability to be able to capture access challenges experienced by people with a disability. The respondents in each FGD should be from the same area to maintain continuity in the discussion. Where possible, the FGD facilitator should translate the discussions; otherwise, local translators should be hired to translate the discussions. </w:t>
      </w:r>
    </w:p>
    <w:p w:rsidR="6FF427AF" w:rsidP="30FB4201" w:rsidRDefault="6FF427AF" w14:paraId="6516D216" w14:textId="7ADB5116">
      <w:pPr>
        <w:bidi w:val="0"/>
        <w:spacing w:before="0" w:beforeAutospacing="off" w:after="160" w:afterAutospacing="off" w:line="259" w:lineRule="auto"/>
        <w:ind/>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The questionnaire for the FGDs should be designed to incorporate elements that prompt respondents to reflect on exact physical locations, for example a reference map (printed or projected on a screen) could be provided for major relevant landmarks such as roads and rivers in the program area, with the questionnaire designed to prompt them to locate the specific program-relevant locations, such as water access points or IDP camps. During the FGD the facilitator can assign a volunteer from the FGD to mark the relevant landmarks and specific locations on the map, and a note taker should be assigned to take as detailed notes as possible. If a reference map of the program area is not available, FGD participants could collaboratively map landmarks on a blank flip chart, or FGD facilitators could download satellite images of the location from free databases to work from.</w:t>
      </w:r>
    </w:p>
    <w:p w:rsidR="6FF427AF" w:rsidP="30FB4201" w:rsidRDefault="6FF427AF" w14:paraId="1F02732E" w14:textId="65932E9F">
      <w:pPr>
        <w:bidi w:val="0"/>
        <w:spacing w:before="0" w:beforeAutospacing="off" w:after="160" w:afterAutospacing="off" w:line="259" w:lineRule="auto"/>
        <w:ind/>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 xml:space="preserve">The number of FGDs to be conducted for the same program areas depends on when saturation of the findings from the FGD is reached. Ideally 2-3 mapping exercises should be conducted for the same area and program-relevant locations. The different maps generated from each FGD should be used to triangulate the locations mapped and thus be used as a validation of the final map data. </w:t>
      </w:r>
    </w:p>
    <w:p w:rsidR="6FF427AF" w:rsidP="30FB4201" w:rsidRDefault="6FF427AF" w14:paraId="1F548CDC" w14:textId="203CD2FC">
      <w:pPr>
        <w:bidi w:val="0"/>
        <w:spacing w:before="0" w:beforeAutospacing="off" w:after="160" w:afterAutospacing="off" w:line="259" w:lineRule="auto"/>
        <w:ind/>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 xml:space="preserve">The following questionnaire and FGD facilitation guidelines can be used as an example but should be adjusted to the objective of the mapping exercise and the program indicators to be mapped: </w:t>
      </w:r>
      <w:hyperlink r:id="Rb5f6ba85690e42e6">
        <w:r w:rsidRPr="30FB4201" w:rsidR="19388ED4">
          <w:rPr>
            <w:rStyle w:val="Hyperlink"/>
            <w:rFonts w:ascii="Arial" w:hAnsi="Arial" w:eastAsia="Arial" w:cs="Arial"/>
            <w:b w:val="0"/>
            <w:bCs w:val="0"/>
            <w:i w:val="0"/>
            <w:iCs w:val="0"/>
            <w:caps w:val="0"/>
            <w:smallCaps w:val="0"/>
            <w:strike w:val="0"/>
            <w:dstrike w:val="0"/>
            <w:noProof w:val="0"/>
            <w:sz w:val="22"/>
            <w:szCs w:val="22"/>
            <w:lang w:val="en-US"/>
          </w:rPr>
          <w:t>Participatory Mapping – Facilitation guide and questionnaire route</w:t>
        </w:r>
      </w:hyperlink>
    </w:p>
    <w:p w:rsidR="6FF427AF" w:rsidP="30FB4201" w:rsidRDefault="6FF427AF" w14:paraId="3562C04E" w14:textId="792E8527">
      <w:pPr>
        <w:bidi w:val="0"/>
        <w:spacing w:before="0" w:beforeAutospacing="off" w:after="160" w:afterAutospacing="off" w:line="259" w:lineRule="auto"/>
        <w:ind/>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 xml:space="preserve">As soon as possible after completing the FGDs, the notes taken during the FGD should be transcribed and translated where applicable and saved with restricted access. The hard copy of the maps developed in the FGDs should be photographed and digitized using a GIS software. If resources and time allow, further qualitative analysis can be conducted using a software like MAXQDA to identify deeper trends from the discussion notes. </w:t>
      </w:r>
    </w:p>
    <w:p w:rsidR="6FF427AF" w:rsidP="30FB4201" w:rsidRDefault="6FF427AF" w14:paraId="37258515" w14:textId="6E6E81B0">
      <w:pPr>
        <w:bidi w:val="0"/>
        <w:spacing w:before="0" w:beforeAutospacing="off" w:after="160" w:afterAutospacing="off" w:line="259" w:lineRule="auto"/>
        <w:ind/>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 xml:space="preserve">Because several maps are generated in this method for the same area, the maps may have some variations. The variations and similarity of where indicators are mapped should be used to assess the validity of the map. If the same program-relevant location (e.g. a market) is mapped in the same location more than once, the accuracy of that location is assumed to be higher compared to if the same market has been mapped in different locations. The accuracy of the mapped location can be illustrated when transcribing the maps into </w:t>
      </w:r>
      <w:r w:rsidRPr="30FB4201" w:rsidR="19388ED4">
        <w:rPr>
          <w:rFonts w:ascii="Arial" w:hAnsi="Arial" w:eastAsia="Arial" w:cs="Arial"/>
          <w:b w:val="0"/>
          <w:bCs w:val="0"/>
          <w:i w:val="1"/>
          <w:iCs w:val="1"/>
          <w:caps w:val="0"/>
          <w:smallCaps w:val="0"/>
          <w:noProof w:val="0"/>
          <w:color w:val="000000" w:themeColor="text1" w:themeTint="FF" w:themeShade="FF"/>
          <w:sz w:val="22"/>
          <w:szCs w:val="22"/>
          <w:lang w:val="en-US"/>
        </w:rPr>
        <w:t>Google My Maps</w:t>
      </w:r>
      <w:r w:rsidRPr="30FB4201" w:rsidR="19388ED4">
        <w:rPr>
          <w:rFonts w:ascii="Arial" w:hAnsi="Arial" w:eastAsia="Arial" w:cs="Arial"/>
          <w:b w:val="0"/>
          <w:bCs w:val="0"/>
          <w:i w:val="0"/>
          <w:iCs w:val="0"/>
          <w:caps w:val="0"/>
          <w:smallCaps w:val="0"/>
          <w:noProof w:val="0"/>
          <w:color w:val="000000" w:themeColor="text1" w:themeTint="FF" w:themeShade="FF"/>
          <w:sz w:val="22"/>
          <w:szCs w:val="22"/>
          <w:lang w:val="en-US"/>
        </w:rPr>
        <w:t xml:space="preserve"> by adding a note to the mapped location describing the consistency of how the given location was mapped. Additionally, due to the margin of error and slight variation expected between the mapped locations, if indicators are approximately mapped in the same location a location between the two locations should be selected. One master map for each program location with the relevant locations mapped should be generated.</w:t>
      </w:r>
    </w:p>
    <w:p w:rsidR="6FF427AF" w:rsidP="30FB4201" w:rsidRDefault="6FF427AF" w14:paraId="737C13A8" w14:textId="0BAF1F87">
      <w:pPr>
        <w:bidi w:val="0"/>
        <w:spacing w:before="0" w:beforeAutospacing="off" w:after="160" w:afterAutospacing="off" w:line="259" w:lineRule="auto"/>
        <w:ind w:left="0" w:right="0"/>
        <w:jc w:val="both"/>
        <w:rPr>
          <w:rFonts w:ascii="Arial" w:hAnsi="Arial" w:eastAsia="Arial" w:cs="Arial"/>
          <w:b w:val="0"/>
          <w:bCs w:val="0"/>
          <w:i w:val="0"/>
          <w:iCs w:val="0"/>
          <w:caps w:val="0"/>
          <w:smallCaps w:val="0"/>
          <w:noProof w:val="0"/>
          <w:color w:val="000000" w:themeColor="text1" w:themeTint="FF" w:themeShade="FF"/>
          <w:sz w:val="20"/>
          <w:szCs w:val="20"/>
          <w:lang w:val="en-US"/>
        </w:rPr>
      </w:pPr>
    </w:p>
    <w:p w:rsidR="6FF427AF" w:rsidP="30FB4201" w:rsidRDefault="6FF427AF" w14:paraId="54921219" w14:textId="22621ED7">
      <w:pPr>
        <w:pStyle w:val="Normal"/>
        <w:bidi w:val="0"/>
        <w:spacing w:before="0" w:beforeAutospacing="off" w:after="160" w:afterAutospacing="off" w:line="259" w:lineRule="auto"/>
        <w:ind w:left="0" w:right="0"/>
        <w:jc w:val="left"/>
        <w:rPr>
          <w:rFonts w:ascii="Arial" w:hAnsi="Arial" w:eastAsia="Arial" w:cs="Arial"/>
          <w:b w:val="1"/>
          <w:bCs w:val="1"/>
          <w:i w:val="1"/>
          <w:iCs w:val="1"/>
          <w:caps w:val="0"/>
          <w:smallCaps w:val="0"/>
          <w:noProof w:val="0"/>
          <w:color w:val="152E9F"/>
          <w:sz w:val="24"/>
          <w:szCs w:val="24"/>
          <w:lang w:val="en-US"/>
        </w:rPr>
      </w:pPr>
    </w:p>
    <w:p w:rsidR="6FF427AF" w:rsidP="0C273995" w:rsidRDefault="6FF427AF" w14:paraId="3E6249BC" w14:textId="1401978B">
      <w:pPr>
        <w:pStyle w:val="Normal"/>
        <w:bidi w:val="0"/>
        <w:spacing w:before="0" w:beforeAutospacing="off" w:after="160" w:afterAutospacing="off" w:line="259" w:lineRule="auto"/>
        <w:ind w:left="0" w:right="0"/>
        <w:jc w:val="left"/>
        <w:rPr>
          <w:rFonts w:ascii="Arial" w:hAnsi="Arial" w:eastAsia="Arial" w:cs="Arial"/>
          <w:b w:val="1"/>
          <w:bCs w:val="1"/>
          <w:i w:val="0"/>
          <w:iCs w:val="0"/>
          <w:caps w:val="0"/>
          <w:smallCaps w:val="0"/>
          <w:noProof w:val="0"/>
          <w:color w:val="152E9F"/>
          <w:sz w:val="22"/>
          <w:szCs w:val="22"/>
          <w:lang w:val="en-US"/>
        </w:rPr>
      </w:pPr>
      <w:r w:rsidRPr="0C273995" w:rsidR="1CFFDEF3">
        <w:rPr>
          <w:rFonts w:ascii="Arial" w:hAnsi="Arial" w:eastAsia="Arial" w:cs="Arial"/>
          <w:b w:val="1"/>
          <w:bCs w:val="1"/>
          <w:i w:val="1"/>
          <w:iCs w:val="1"/>
          <w:caps w:val="0"/>
          <w:smallCaps w:val="0"/>
          <w:noProof w:val="0"/>
          <w:color w:val="152E9F"/>
          <w:sz w:val="24"/>
          <w:szCs w:val="24"/>
          <w:lang w:val="en-US"/>
        </w:rPr>
        <w:t xml:space="preserve">Tips and methods for </w:t>
      </w:r>
      <w:r w:rsidRPr="0C273995" w:rsidR="6FF427AF">
        <w:rPr>
          <w:rFonts w:ascii="Arial" w:hAnsi="Arial" w:eastAsia="Arial" w:cs="Arial"/>
          <w:b w:val="1"/>
          <w:bCs w:val="1"/>
          <w:i w:val="1"/>
          <w:iCs w:val="1"/>
          <w:caps w:val="0"/>
          <w:smallCaps w:val="0"/>
          <w:noProof w:val="0"/>
          <w:color w:val="152E9F"/>
          <w:sz w:val="24"/>
          <w:szCs w:val="24"/>
          <w:lang w:val="en-US"/>
        </w:rPr>
        <w:t>identify</w:t>
      </w:r>
      <w:r w:rsidRPr="0C273995" w:rsidR="71D97906">
        <w:rPr>
          <w:rFonts w:ascii="Arial" w:hAnsi="Arial" w:eastAsia="Arial" w:cs="Arial"/>
          <w:b w:val="1"/>
          <w:bCs w:val="1"/>
          <w:i w:val="1"/>
          <w:iCs w:val="1"/>
          <w:caps w:val="0"/>
          <w:smallCaps w:val="0"/>
          <w:noProof w:val="0"/>
          <w:color w:val="152E9F"/>
          <w:sz w:val="24"/>
          <w:szCs w:val="24"/>
          <w:lang w:val="en-US"/>
        </w:rPr>
        <w:t>ing</w:t>
      </w:r>
      <w:r w:rsidRPr="0C273995" w:rsidR="6FF427AF">
        <w:rPr>
          <w:rFonts w:ascii="Arial" w:hAnsi="Arial" w:eastAsia="Arial" w:cs="Arial"/>
          <w:b w:val="1"/>
          <w:bCs w:val="1"/>
          <w:i w:val="1"/>
          <w:iCs w:val="1"/>
          <w:caps w:val="0"/>
          <w:smallCaps w:val="0"/>
          <w:noProof w:val="0"/>
          <w:color w:val="152E9F"/>
          <w:sz w:val="24"/>
          <w:szCs w:val="24"/>
          <w:lang w:val="en-US"/>
        </w:rPr>
        <w:t xml:space="preserve"> pre-existing vulnerabilities</w:t>
      </w:r>
    </w:p>
    <w:p w:rsidR="02A3B8BA" w:rsidP="32459100" w:rsidRDefault="02A3B8BA" w14:paraId="69DF0A78" w14:textId="0F5D5C62">
      <w:pPr>
        <w:spacing w:before="0" w:beforeAutospacing="off" w:after="160" w:afterAutospacing="off" w:line="259" w:lineRule="auto"/>
        <w:ind w:right="0"/>
        <w:jc w:val="both"/>
        <w:rPr>
          <w:rFonts w:ascii="Arial" w:hAnsi="Arial" w:eastAsia="Arial" w:cs="Arial"/>
          <w:b w:val="0"/>
          <w:bCs w:val="0"/>
          <w:i w:val="0"/>
          <w:iCs w:val="0"/>
          <w:caps w:val="0"/>
          <w:smallCaps w:val="0"/>
          <w:noProof w:val="0"/>
          <w:color w:val="2F5CDE"/>
          <w:sz w:val="22"/>
          <w:szCs w:val="22"/>
          <w:lang w:val="en-US"/>
        </w:rPr>
      </w:pPr>
      <w:r w:rsidRPr="32459100" w:rsidR="02A3B8BA">
        <w:rPr>
          <w:rFonts w:ascii="Arial" w:hAnsi="Arial" w:eastAsia="Arial" w:cs="Arial"/>
          <w:b w:val="0"/>
          <w:bCs w:val="0"/>
          <w:i w:val="0"/>
          <w:iCs w:val="0"/>
          <w:caps w:val="0"/>
          <w:smallCaps w:val="0"/>
          <w:noProof w:val="0"/>
          <w:color w:val="2F5CDE"/>
          <w:sz w:val="22"/>
          <w:szCs w:val="22"/>
          <w:lang w:val="en-US"/>
        </w:rPr>
        <w:t>Secondary literature review</w:t>
      </w:r>
    </w:p>
    <w:p w:rsidR="29AE1160" w:rsidP="69ABD537" w:rsidRDefault="29AE1160" w14:paraId="0F652E62" w14:textId="53D3699A">
      <w:pPr>
        <w:spacing w:before="0" w:beforeAutospacing="off" w:after="160" w:afterAutospacing="off" w:line="259" w:lineRule="auto"/>
        <w:ind w:right="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69ABD537" w:rsidR="69ABD537">
        <w:rPr>
          <w:rFonts w:ascii="Arial" w:hAnsi="Arial" w:eastAsia="Arial" w:cs="Arial"/>
          <w:b w:val="0"/>
          <w:bCs w:val="0"/>
          <w:i w:val="0"/>
          <w:iCs w:val="0"/>
          <w:caps w:val="0"/>
          <w:smallCaps w:val="0"/>
          <w:noProof w:val="0"/>
          <w:color w:val="000000" w:themeColor="text1" w:themeTint="FF" w:themeShade="FF"/>
          <w:sz w:val="22"/>
          <w:szCs w:val="22"/>
          <w:lang w:val="en-US"/>
        </w:rPr>
        <w:t>Secondary literature to inform your vulnerability analysis should be based on</w:t>
      </w:r>
      <w:r w:rsidRPr="69ABD537" w:rsidR="69ABD537">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69ABD537" w:rsidR="69ABD537">
        <w:rPr>
          <w:rFonts w:ascii="Arial" w:hAnsi="Arial" w:eastAsia="Arial" w:cs="Arial"/>
          <w:b w:val="0"/>
          <w:bCs w:val="0"/>
          <w:i w:val="0"/>
          <w:iCs w:val="0"/>
          <w:caps w:val="0"/>
          <w:smallCaps w:val="0"/>
          <w:noProof w:val="0"/>
          <w:color w:val="000000" w:themeColor="text1" w:themeTint="FF" w:themeShade="FF"/>
          <w:sz w:val="22"/>
          <w:szCs w:val="22"/>
          <w:lang w:val="en-US"/>
        </w:rPr>
        <w:t>previous</w:t>
      </w:r>
      <w:r w:rsidRPr="69ABD537" w:rsidR="69ABD537">
        <w:rPr>
          <w:rFonts w:ascii="Arial" w:hAnsi="Arial" w:eastAsia="Arial" w:cs="Arial"/>
          <w:b w:val="0"/>
          <w:bCs w:val="0"/>
          <w:i w:val="0"/>
          <w:iCs w:val="0"/>
          <w:caps w:val="0"/>
          <w:smallCaps w:val="0"/>
          <w:noProof w:val="0"/>
          <w:color w:val="000000" w:themeColor="text1" w:themeTint="FF" w:themeShade="FF"/>
          <w:sz w:val="22"/>
          <w:szCs w:val="22"/>
          <w:lang w:val="en-US"/>
        </w:rPr>
        <w:t xml:space="preserve"> assessment conducted in the program area such as</w:t>
      </w:r>
      <w:r w:rsidRPr="69ABD537" w:rsidR="69ABD537">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69ABD537" w:rsidR="69ABD537">
        <w:rPr>
          <w:rFonts w:ascii="Arial" w:hAnsi="Arial" w:eastAsia="Arial" w:cs="Arial"/>
          <w:b w:val="1"/>
          <w:bCs w:val="1"/>
          <w:i w:val="0"/>
          <w:iCs w:val="0"/>
          <w:caps w:val="0"/>
          <w:smallCaps w:val="0"/>
          <w:noProof w:val="0"/>
          <w:color w:val="000000" w:themeColor="text1" w:themeTint="FF" w:themeShade="FF"/>
          <w:sz w:val="22"/>
          <w:szCs w:val="22"/>
          <w:lang w:val="en-US"/>
        </w:rPr>
        <w:t xml:space="preserve">context </w:t>
      </w:r>
      <w:r w:rsidRPr="69ABD537" w:rsidR="69ABD537">
        <w:rPr>
          <w:rFonts w:ascii="Arial" w:hAnsi="Arial" w:eastAsia="Arial" w:cs="Arial"/>
          <w:b w:val="1"/>
          <w:bCs w:val="1"/>
          <w:i w:val="0"/>
          <w:iCs w:val="0"/>
          <w:caps w:val="0"/>
          <w:smallCaps w:val="0"/>
          <w:noProof w:val="0"/>
          <w:color w:val="000000" w:themeColor="text1" w:themeTint="FF" w:themeShade="FF"/>
          <w:sz w:val="22"/>
          <w:szCs w:val="22"/>
          <w:lang w:val="en-US"/>
        </w:rPr>
        <w:t>analysis, needs</w:t>
      </w:r>
      <w:r w:rsidRPr="69ABD537" w:rsidR="69ABD537">
        <w:rPr>
          <w:rFonts w:ascii="Arial" w:hAnsi="Arial" w:eastAsia="Arial" w:cs="Arial"/>
          <w:b w:val="1"/>
          <w:bCs w:val="1"/>
          <w:i w:val="0"/>
          <w:iCs w:val="0"/>
          <w:caps w:val="0"/>
          <w:smallCaps w:val="0"/>
          <w:noProof w:val="0"/>
          <w:color w:val="000000" w:themeColor="text1" w:themeTint="FF" w:themeShade="FF"/>
          <w:sz w:val="22"/>
          <w:szCs w:val="22"/>
          <w:lang w:val="en-US"/>
        </w:rPr>
        <w:t xml:space="preserve"> assessments or baseline assessments</w:t>
      </w:r>
      <w:r w:rsidRPr="69ABD537" w:rsidR="69ABD537">
        <w:rPr>
          <w:rFonts w:ascii="Arial" w:hAnsi="Arial" w:eastAsia="Arial" w:cs="Arial"/>
          <w:b w:val="0"/>
          <w:bCs w:val="0"/>
          <w:i w:val="0"/>
          <w:iCs w:val="0"/>
          <w:caps w:val="0"/>
          <w:smallCaps w:val="0"/>
          <w:noProof w:val="0"/>
          <w:color w:val="000000" w:themeColor="text1" w:themeTint="FF" w:themeShade="FF"/>
          <w:sz w:val="22"/>
          <w:szCs w:val="22"/>
          <w:lang w:val="en-US"/>
        </w:rPr>
        <w:t>.</w:t>
      </w:r>
      <w:r w:rsidRPr="69ABD537" w:rsidR="69ABD537">
        <w:rPr>
          <w:rFonts w:ascii="Arial" w:hAnsi="Arial" w:eastAsia="Arial" w:cs="Arial"/>
          <w:b w:val="0"/>
          <w:bCs w:val="0"/>
          <w:i w:val="0"/>
          <w:iCs w:val="0"/>
          <w:caps w:val="0"/>
          <w:smallCaps w:val="0"/>
          <w:noProof w:val="0"/>
          <w:color w:val="000000" w:themeColor="text1" w:themeTint="FF" w:themeShade="FF"/>
          <w:sz w:val="22"/>
          <w:szCs w:val="22"/>
          <w:lang w:val="en-US"/>
        </w:rPr>
        <w:t xml:space="preserve"> These sources may have been </w:t>
      </w:r>
      <w:r w:rsidRPr="69ABD537" w:rsidR="69ABD537">
        <w:rPr>
          <w:rFonts w:ascii="Arial" w:hAnsi="Arial" w:eastAsia="Arial" w:cs="Arial"/>
          <w:b w:val="0"/>
          <w:bCs w:val="0"/>
          <w:i w:val="0"/>
          <w:iCs w:val="0"/>
          <w:caps w:val="0"/>
          <w:smallCaps w:val="0"/>
          <w:noProof w:val="0"/>
          <w:color w:val="000000" w:themeColor="text1" w:themeTint="FF" w:themeShade="FF"/>
          <w:sz w:val="22"/>
          <w:szCs w:val="22"/>
          <w:lang w:val="en-US"/>
        </w:rPr>
        <w:t>identified</w:t>
      </w:r>
      <w:r w:rsidRPr="69ABD537" w:rsidR="69ABD537">
        <w:rPr>
          <w:rFonts w:ascii="Arial" w:hAnsi="Arial" w:eastAsia="Arial" w:cs="Arial"/>
          <w:b w:val="0"/>
          <w:bCs w:val="0"/>
          <w:i w:val="0"/>
          <w:iCs w:val="0"/>
          <w:caps w:val="0"/>
          <w:smallCaps w:val="0"/>
          <w:noProof w:val="0"/>
          <w:color w:val="000000" w:themeColor="text1" w:themeTint="FF" w:themeShade="FF"/>
          <w:sz w:val="22"/>
          <w:szCs w:val="22"/>
          <w:lang w:val="en-US"/>
        </w:rPr>
        <w:t xml:space="preserve"> during the stakeholder/information mapping in step one of this section of the toolkit.</w:t>
      </w:r>
    </w:p>
    <w:p w:rsidR="21F227E7" w:rsidP="32459100" w:rsidRDefault="21F227E7" w14:paraId="7E7367A9" w14:textId="2C8948BC">
      <w:pPr>
        <w:pStyle w:val="Normal"/>
        <w:spacing w:before="0" w:beforeAutospacing="off" w:after="160" w:afterAutospacing="off" w:line="259" w:lineRule="auto"/>
        <w:ind w:left="0" w:right="0"/>
        <w:jc w:val="left"/>
        <w:rPr>
          <w:rFonts w:ascii="Arial" w:hAnsi="Arial" w:eastAsia="Arial" w:cs="Arial"/>
          <w:b w:val="0"/>
          <w:bCs w:val="0"/>
          <w:i w:val="0"/>
          <w:iCs w:val="0"/>
          <w:caps w:val="0"/>
          <w:smallCaps w:val="0"/>
          <w:noProof w:val="0"/>
          <w:color w:val="2F5CDE" w:themeColor="text1" w:themeTint="FF" w:themeShade="FF"/>
          <w:sz w:val="22"/>
          <w:szCs w:val="22"/>
          <w:lang w:val="en-US"/>
        </w:rPr>
      </w:pPr>
      <w:r w:rsidRPr="32459100" w:rsidR="2E990CE1">
        <w:rPr>
          <w:rFonts w:ascii="Arial" w:hAnsi="Arial" w:eastAsia="Arial" w:cs="Arial"/>
          <w:b w:val="0"/>
          <w:bCs w:val="0"/>
          <w:i w:val="0"/>
          <w:iCs w:val="0"/>
          <w:caps w:val="0"/>
          <w:smallCaps w:val="0"/>
          <w:noProof w:val="0"/>
          <w:color w:val="2F5CDE"/>
          <w:sz w:val="22"/>
          <w:szCs w:val="22"/>
          <w:lang w:val="en-US"/>
        </w:rPr>
        <w:t>Workshop/ internal meeting</w:t>
      </w:r>
    </w:p>
    <w:p w:rsidR="4A1F2EA9" w:rsidP="2AD8FB5E" w:rsidRDefault="4A1F2EA9" w14:paraId="735DE550" w14:textId="07BE48D4">
      <w:pPr>
        <w:pStyle w:val="Normal"/>
        <w:bidi w:val="0"/>
        <w:spacing w:before="0" w:beforeAutospacing="off" w:after="160" w:afterAutospacing="off" w:line="259" w:lineRule="auto"/>
        <w:ind w:left="0" w:right="0"/>
        <w:jc w:val="left"/>
        <w:rPr>
          <w:rFonts w:ascii="Arial" w:hAnsi="Arial" w:eastAsia="Arial" w:cs="Arial"/>
          <w:b w:val="0"/>
          <w:bCs w:val="0"/>
          <w:i w:val="0"/>
          <w:iCs w:val="0"/>
          <w:caps w:val="0"/>
          <w:smallCaps w:val="0"/>
          <w:noProof w:val="0"/>
          <w:color w:val="000000" w:themeColor="text1" w:themeTint="FF" w:themeShade="FF"/>
          <w:sz w:val="22"/>
          <w:szCs w:val="22"/>
          <w:lang w:val="en-US"/>
        </w:rPr>
      </w:pPr>
      <w:r w:rsidRPr="2AD8FB5E" w:rsidR="1DDD3BBB">
        <w:rPr>
          <w:rFonts w:ascii="Arial" w:hAnsi="Arial" w:eastAsia="Arial" w:cs="Arial"/>
          <w:b w:val="0"/>
          <w:bCs w:val="0"/>
          <w:i w:val="0"/>
          <w:iCs w:val="0"/>
          <w:caps w:val="0"/>
          <w:smallCaps w:val="0"/>
          <w:noProof w:val="0"/>
          <w:color w:val="000000" w:themeColor="text1" w:themeTint="FF" w:themeShade="FF"/>
          <w:sz w:val="22"/>
          <w:szCs w:val="22"/>
          <w:lang w:val="en-US"/>
        </w:rPr>
        <w:t>W</w:t>
      </w:r>
      <w:r w:rsidRPr="2AD8FB5E" w:rsidR="0DB5BCFA">
        <w:rPr>
          <w:rFonts w:ascii="Arial" w:hAnsi="Arial" w:eastAsia="Arial" w:cs="Arial"/>
          <w:b w:val="0"/>
          <w:bCs w:val="0"/>
          <w:i w:val="0"/>
          <w:iCs w:val="0"/>
          <w:caps w:val="0"/>
          <w:smallCaps w:val="0"/>
          <w:noProof w:val="0"/>
          <w:color w:val="000000" w:themeColor="text1" w:themeTint="FF" w:themeShade="FF"/>
          <w:sz w:val="22"/>
          <w:szCs w:val="22"/>
          <w:lang w:val="en-US"/>
        </w:rPr>
        <w:t xml:space="preserve">hen </w:t>
      </w:r>
      <w:r w:rsidRPr="2AD8FB5E" w:rsidR="0DB5BCFA">
        <w:rPr>
          <w:rFonts w:ascii="Arial" w:hAnsi="Arial" w:eastAsia="Arial" w:cs="Arial"/>
          <w:b w:val="0"/>
          <w:bCs w:val="0"/>
          <w:i w:val="0"/>
          <w:iCs w:val="0"/>
          <w:caps w:val="0"/>
          <w:smallCaps w:val="0"/>
          <w:noProof w:val="0"/>
          <w:color w:val="000000" w:themeColor="text1" w:themeTint="FF" w:themeShade="FF"/>
          <w:sz w:val="22"/>
          <w:szCs w:val="22"/>
          <w:lang w:val="en-US"/>
        </w:rPr>
        <w:t>identifying</w:t>
      </w:r>
      <w:r w:rsidRPr="2AD8FB5E" w:rsidR="0DB5BCFA">
        <w:rPr>
          <w:rFonts w:ascii="Arial" w:hAnsi="Arial" w:eastAsia="Arial" w:cs="Arial"/>
          <w:b w:val="0"/>
          <w:bCs w:val="0"/>
          <w:i w:val="0"/>
          <w:iCs w:val="0"/>
          <w:caps w:val="0"/>
          <w:smallCaps w:val="0"/>
          <w:noProof w:val="0"/>
          <w:color w:val="000000" w:themeColor="text1" w:themeTint="FF" w:themeShade="FF"/>
          <w:sz w:val="22"/>
          <w:szCs w:val="22"/>
          <w:lang w:val="en-US"/>
        </w:rPr>
        <w:t xml:space="preserve"> pre-existing vulnerabilities </w:t>
      </w:r>
      <w:r w:rsidRPr="2AD8FB5E" w:rsidR="09804826">
        <w:rPr>
          <w:rFonts w:ascii="Arial" w:hAnsi="Arial" w:eastAsia="Arial" w:cs="Arial"/>
          <w:b w:val="0"/>
          <w:bCs w:val="0"/>
          <w:i w:val="0"/>
          <w:iCs w:val="0"/>
          <w:caps w:val="0"/>
          <w:smallCaps w:val="0"/>
          <w:noProof w:val="0"/>
          <w:color w:val="000000" w:themeColor="text1" w:themeTint="FF" w:themeShade="FF"/>
          <w:sz w:val="22"/>
          <w:szCs w:val="22"/>
          <w:lang w:val="en-US"/>
        </w:rPr>
        <w:t>through a workshop or internal meeting f</w:t>
      </w:r>
      <w:r w:rsidRPr="2AD8FB5E" w:rsidR="4A1F2EA9">
        <w:rPr>
          <w:rFonts w:ascii="Arial" w:hAnsi="Arial" w:eastAsia="Arial" w:cs="Arial"/>
          <w:b w:val="0"/>
          <w:bCs w:val="0"/>
          <w:i w:val="0"/>
          <w:iCs w:val="0"/>
          <w:caps w:val="0"/>
          <w:smallCaps w:val="0"/>
          <w:noProof w:val="0"/>
          <w:color w:val="000000" w:themeColor="text1" w:themeTint="FF" w:themeShade="FF"/>
          <w:sz w:val="22"/>
          <w:szCs w:val="22"/>
          <w:lang w:val="en-US"/>
        </w:rPr>
        <w:t xml:space="preserve">ollowing </w:t>
      </w:r>
      <w:r w:rsidRPr="2AD8FB5E" w:rsidR="4A1F2EA9">
        <w:rPr>
          <w:rFonts w:ascii="Arial" w:hAnsi="Arial" w:eastAsia="Arial" w:cs="Arial"/>
          <w:b w:val="1"/>
          <w:bCs w:val="1"/>
          <w:i w:val="0"/>
          <w:iCs w:val="0"/>
          <w:caps w:val="0"/>
          <w:smallCaps w:val="0"/>
          <w:noProof w:val="0"/>
          <w:color w:val="000000" w:themeColor="text1" w:themeTint="FF" w:themeShade="FF"/>
          <w:sz w:val="22"/>
          <w:szCs w:val="22"/>
          <w:lang w:val="en-US"/>
        </w:rPr>
        <w:t>questions</w:t>
      </w:r>
      <w:r w:rsidRPr="2AD8FB5E" w:rsidR="4A1F2EA9">
        <w:rPr>
          <w:rFonts w:ascii="Arial" w:hAnsi="Arial" w:eastAsia="Arial" w:cs="Arial"/>
          <w:b w:val="0"/>
          <w:bCs w:val="0"/>
          <w:i w:val="0"/>
          <w:iCs w:val="0"/>
          <w:caps w:val="0"/>
          <w:smallCaps w:val="0"/>
          <w:noProof w:val="0"/>
          <w:color w:val="000000" w:themeColor="text1" w:themeTint="FF" w:themeShade="FF"/>
          <w:sz w:val="22"/>
          <w:szCs w:val="22"/>
          <w:lang w:val="en-US"/>
        </w:rPr>
        <w:t xml:space="preserve"> can be used to </w:t>
      </w:r>
      <w:r w:rsidRPr="2AD8FB5E" w:rsidR="4A1F2EA9">
        <w:rPr>
          <w:rFonts w:ascii="Arial" w:hAnsi="Arial" w:eastAsia="Arial" w:cs="Arial"/>
          <w:b w:val="0"/>
          <w:bCs w:val="0"/>
          <w:i w:val="0"/>
          <w:iCs w:val="0"/>
          <w:caps w:val="0"/>
          <w:smallCaps w:val="0"/>
          <w:noProof w:val="0"/>
          <w:color w:val="000000" w:themeColor="text1" w:themeTint="FF" w:themeShade="FF"/>
          <w:sz w:val="22"/>
          <w:szCs w:val="22"/>
          <w:lang w:val="en-US"/>
        </w:rPr>
        <w:t>f</w:t>
      </w:r>
      <w:r w:rsidRPr="2AD8FB5E" w:rsidR="4A1F2EA9">
        <w:rPr>
          <w:rFonts w:ascii="Arial" w:hAnsi="Arial" w:eastAsia="Arial" w:cs="Arial"/>
          <w:b w:val="0"/>
          <w:bCs w:val="0"/>
          <w:i w:val="0"/>
          <w:iCs w:val="0"/>
          <w:caps w:val="0"/>
          <w:smallCaps w:val="0"/>
          <w:noProof w:val="0"/>
          <w:color w:val="000000" w:themeColor="text1" w:themeTint="FF" w:themeShade="FF"/>
          <w:sz w:val="22"/>
          <w:szCs w:val="22"/>
          <w:lang w:val="en-US"/>
        </w:rPr>
        <w:t>acilitate</w:t>
      </w:r>
      <w:r w:rsidRPr="2AD8FB5E" w:rsidR="4A1F2EA9">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2AD8FB5E" w:rsidR="4A1F2EA9">
        <w:rPr>
          <w:rFonts w:ascii="Arial" w:hAnsi="Arial" w:eastAsia="Arial" w:cs="Arial"/>
          <w:b w:val="0"/>
          <w:bCs w:val="0"/>
          <w:i w:val="0"/>
          <w:iCs w:val="0"/>
          <w:caps w:val="0"/>
          <w:smallCaps w:val="0"/>
          <w:noProof w:val="0"/>
          <w:color w:val="000000" w:themeColor="text1" w:themeTint="FF" w:themeShade="FF"/>
          <w:sz w:val="22"/>
          <w:szCs w:val="22"/>
          <w:lang w:val="en-US"/>
        </w:rPr>
        <w:t>the discussion:</w:t>
      </w:r>
    </w:p>
    <w:p w:rsidR="4A1F2EA9" w:rsidP="3E04A217" w:rsidRDefault="4A1F2EA9" w14:paraId="6B2E85DB" w14:textId="2820492D">
      <w:pPr>
        <w:pStyle w:val="ListParagraph"/>
        <w:numPr>
          <w:ilvl w:val="0"/>
          <w:numId w:val="7"/>
        </w:numPr>
        <w:spacing w:after="160"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Which factors may </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determine</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the impact of the hazard on program implementation?</w:t>
      </w:r>
    </w:p>
    <w:p w:rsidR="4A1F2EA9" w:rsidP="3E04A217" w:rsidRDefault="4A1F2EA9" w14:paraId="2120A1C9" w14:textId="4951C8CE">
      <w:pPr>
        <w:pStyle w:val="ListParagraph"/>
        <w:numPr>
          <w:ilvl w:val="1"/>
          <w:numId w:val="7"/>
        </w:numPr>
        <w:spacing w:after="160"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Which underlying </w:t>
      </w:r>
      <w:r w:rsidRPr="3E04A217" w:rsidR="4A1F2EA9">
        <w:rPr>
          <w:rFonts w:ascii="Arial" w:hAnsi="Arial" w:eastAsia="Arial" w:cs="Arial"/>
          <w:b w:val="1"/>
          <w:bCs w:val="1"/>
          <w:i w:val="0"/>
          <w:iCs w:val="0"/>
          <w:caps w:val="0"/>
          <w:smallCaps w:val="0"/>
          <w:strike w:val="0"/>
          <w:dstrike w:val="0"/>
          <w:noProof w:val="0"/>
          <w:color w:val="000000" w:themeColor="text1" w:themeTint="FF" w:themeShade="FF"/>
          <w:sz w:val="22"/>
          <w:szCs w:val="22"/>
          <w:u w:val="none"/>
          <w:lang w:val="en-US"/>
        </w:rPr>
        <w:t>physical vulnerabilities</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in the program location may </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determine</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the impact of the hazard on program implementation?</w:t>
      </w:r>
      <w:r w:rsidRPr="3E04A217" w:rsidR="4A1F2EA9">
        <w:rPr>
          <w:rFonts w:ascii="Arial" w:hAnsi="Arial" w:eastAsia="Arial" w:cs="Arial"/>
          <w:b w:val="0"/>
          <w:bCs w:val="0"/>
          <w:i w:val="1"/>
          <w:iCs w:val="1"/>
          <w:caps w:val="0"/>
          <w:smallCaps w:val="0"/>
          <w:strike w:val="0"/>
          <w:dstrike w:val="0"/>
          <w:noProof w:val="0"/>
          <w:color w:val="000000" w:themeColor="text1" w:themeTint="FF" w:themeShade="FF"/>
          <w:sz w:val="22"/>
          <w:szCs w:val="22"/>
          <w:u w:val="none"/>
          <w:lang w:val="en-US"/>
        </w:rPr>
        <w:t xml:space="preserve"> </w:t>
      </w:r>
    </w:p>
    <w:p w:rsidR="4A1F2EA9" w:rsidP="3E04A217" w:rsidRDefault="4A1F2EA9" w14:paraId="2787AAD5" w14:textId="6844408D">
      <w:pPr>
        <w:pStyle w:val="ListParagraph"/>
        <w:numPr>
          <w:ilvl w:val="1"/>
          <w:numId w:val="7"/>
        </w:numPr>
        <w:spacing w:after="160"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Which underlying </w:t>
      </w:r>
      <w:r w:rsidRPr="3E04A217" w:rsidR="4A1F2EA9">
        <w:rPr>
          <w:rFonts w:ascii="Arial" w:hAnsi="Arial" w:eastAsia="Arial" w:cs="Arial"/>
          <w:b w:val="1"/>
          <w:bCs w:val="1"/>
          <w:i w:val="0"/>
          <w:iCs w:val="0"/>
          <w:caps w:val="0"/>
          <w:smallCaps w:val="0"/>
          <w:strike w:val="0"/>
          <w:dstrike w:val="0"/>
          <w:noProof w:val="0"/>
          <w:color w:val="000000" w:themeColor="text1" w:themeTint="FF" w:themeShade="FF"/>
          <w:sz w:val="22"/>
          <w:szCs w:val="22"/>
          <w:u w:val="none"/>
          <w:lang w:val="en-US"/>
        </w:rPr>
        <w:t xml:space="preserve">social vulnerabilities </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in the program location may </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determine</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the impact of the hazard on program implementation?</w:t>
      </w:r>
    </w:p>
    <w:p w:rsidR="4A1F2EA9" w:rsidP="3E04A217" w:rsidRDefault="4A1F2EA9" w14:paraId="0191FEA5" w14:textId="7284522F">
      <w:pPr>
        <w:pStyle w:val="ListParagraph"/>
        <w:numPr>
          <w:ilvl w:val="1"/>
          <w:numId w:val="7"/>
        </w:numPr>
        <w:spacing w:after="160"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Which underlying </w:t>
      </w:r>
      <w:r w:rsidRPr="3E04A217" w:rsidR="4A1F2EA9">
        <w:rPr>
          <w:rFonts w:ascii="Arial" w:hAnsi="Arial" w:eastAsia="Arial" w:cs="Arial"/>
          <w:b w:val="1"/>
          <w:bCs w:val="1"/>
          <w:i w:val="0"/>
          <w:iCs w:val="0"/>
          <w:caps w:val="0"/>
          <w:smallCaps w:val="0"/>
          <w:strike w:val="0"/>
          <w:dstrike w:val="0"/>
          <w:noProof w:val="0"/>
          <w:color w:val="000000" w:themeColor="text1" w:themeTint="FF" w:themeShade="FF"/>
          <w:sz w:val="22"/>
          <w:szCs w:val="22"/>
          <w:u w:val="none"/>
          <w:lang w:val="en-US"/>
        </w:rPr>
        <w:t xml:space="preserve">economic vulnerabilities </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in the program location may </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determine</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the impact of the hazard on program implementation?</w:t>
      </w:r>
    </w:p>
    <w:p w:rsidR="4A1F2EA9" w:rsidP="3E04A217" w:rsidRDefault="4A1F2EA9" w14:paraId="60DDBA3D" w14:textId="7CA9B6D9">
      <w:pPr>
        <w:pStyle w:val="ListParagraph"/>
        <w:numPr>
          <w:ilvl w:val="1"/>
          <w:numId w:val="7"/>
        </w:numPr>
        <w:spacing w:after="160"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Which underlying </w:t>
      </w:r>
      <w:r w:rsidRPr="3E04A217" w:rsidR="4A1F2EA9">
        <w:rPr>
          <w:rFonts w:ascii="Arial" w:hAnsi="Arial" w:eastAsia="Arial" w:cs="Arial"/>
          <w:b w:val="1"/>
          <w:bCs w:val="1"/>
          <w:i w:val="0"/>
          <w:iCs w:val="0"/>
          <w:caps w:val="0"/>
          <w:smallCaps w:val="0"/>
          <w:strike w:val="0"/>
          <w:dstrike w:val="0"/>
          <w:noProof w:val="0"/>
          <w:color w:val="000000" w:themeColor="text1" w:themeTint="FF" w:themeShade="FF"/>
          <w:sz w:val="22"/>
          <w:szCs w:val="22"/>
          <w:u w:val="none"/>
          <w:lang w:val="en-US"/>
        </w:rPr>
        <w:t xml:space="preserve">environmental vulnerabilities </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in the program location may </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determine</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the impact of the hazard on program implementation?</w:t>
      </w:r>
    </w:p>
    <w:p w:rsidR="4A1F2EA9" w:rsidP="3E04A217" w:rsidRDefault="4A1F2EA9" w14:paraId="292E9553" w14:textId="381B53DA">
      <w:pPr>
        <w:pStyle w:val="ListParagraph"/>
        <w:numPr>
          <w:ilvl w:val="0"/>
          <w:numId w:val="12"/>
        </w:numPr>
        <w:spacing w:after="160"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Which population groups are considered more vulnerable to the impact of the hazard? </w:t>
      </w:r>
    </w:p>
    <w:p w:rsidR="4A1F2EA9" w:rsidP="3E04A217" w:rsidRDefault="4A1F2EA9" w14:paraId="1998E498" w14:textId="2BF329B8">
      <w:pPr>
        <w:pStyle w:val="ListParagraph"/>
        <w:numPr>
          <w:ilvl w:val="0"/>
          <w:numId w:val="12"/>
        </w:numPr>
        <w:spacing w:after="160"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How can these vulnerabilities be measured? </w:t>
      </w:r>
    </w:p>
    <w:p w:rsidR="4A1F2EA9" w:rsidP="3E04A217" w:rsidRDefault="4A1F2EA9" w14:paraId="094CA82D" w14:textId="5608E799">
      <w:pPr>
        <w:pStyle w:val="ListParagraph"/>
        <w:numPr>
          <w:ilvl w:val="1"/>
          <w:numId w:val="12"/>
        </w:numPr>
        <w:spacing w:after="160"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What indicators should be used to assess the vulnerabilities </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identified</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w:t>
      </w:r>
    </w:p>
    <w:p w:rsidR="4A1F2EA9" w:rsidP="3E04A217" w:rsidRDefault="4A1F2EA9" w14:paraId="1F293CCF" w14:textId="16204D61">
      <w:pPr>
        <w:pStyle w:val="ListParagraph"/>
        <w:numPr>
          <w:ilvl w:val="0"/>
          <w:numId w:val="12"/>
        </w:numPr>
        <w:spacing w:after="160"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What data sources exist to </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provide</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information about the vulnerabilities </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identified</w:t>
      </w:r>
      <w:r w:rsidRPr="3E04A217"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w:t>
      </w:r>
    </w:p>
    <w:p w:rsidR="4A1F2EA9" w:rsidP="4ED11EC8" w:rsidRDefault="4A1F2EA9" w14:paraId="3F0D7507" w14:textId="2284D766">
      <w:pPr>
        <w:pStyle w:val="Normal"/>
        <w:spacing w:after="160" w:line="259" w:lineRule="auto"/>
        <w:ind w:left="0"/>
        <w:jc w:val="both"/>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pPr>
      <w:r w:rsidRPr="4ED11EC8"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Once </w:t>
      </w:r>
      <w:r w:rsidRPr="4ED11EC8" w:rsidR="24A9F0EB">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pre-existing</w:t>
      </w:r>
      <w:r w:rsidRPr="4ED11EC8"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vulnerabilities have been </w:t>
      </w:r>
      <w:r w:rsidRPr="4ED11EC8"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identified</w:t>
      </w:r>
      <w:r w:rsidRPr="4ED11EC8"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from a</w:t>
      </w:r>
      <w:r w:rsidRPr="4ED11EC8" w:rsidR="1F641A1E">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more</w:t>
      </w:r>
      <w:r w:rsidRPr="4ED11EC8"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theoretical perspective, vulnerability indicators should be agreed upon to be able to measure the given vulnerability.</w:t>
      </w:r>
      <w:r w:rsidRPr="4ED11EC8"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This part of the analysis should include discussion of how to measure the different vulnerabilities (e.g., poverty index, proportion of female headed households, proportion of types of house structures, size of wetland area, population density etc.).</w:t>
      </w:r>
      <w:r w:rsidRPr="4ED11EC8" w:rsidR="4CD1918E">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w:t>
      </w:r>
      <w:r w:rsidRPr="4ED11EC8" w:rsidR="7C234EE5">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A vulnerability indicator refers to a piece of information that can measure the presence of a vulnerability in the targeted area.</w:t>
      </w:r>
      <w:r w:rsidRPr="4ED11EC8" w:rsidR="4CD1918E">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w:t>
      </w:r>
      <w:r w:rsidRPr="4ED11EC8"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Table </w:t>
      </w:r>
      <w:r w:rsidRPr="4ED11EC8" w:rsidR="0FF02EB5">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3</w:t>
      </w:r>
      <w:r w:rsidRPr="4ED11EC8"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below </w:t>
      </w:r>
      <w:r w:rsidRPr="4ED11EC8"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provides</w:t>
      </w:r>
      <w:r w:rsidRPr="4ED11EC8" w:rsidR="4A1F2EA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t xml:space="preserve"> a few examples of pre-existing vulnerabilities and their respective indicators. More examples can be found in the </w:t>
      </w:r>
      <w:hyperlink r:id="R7b51a4b5cf114932">
        <w:r w:rsidRPr="4ED11EC8" w:rsidR="4A1F2EA9">
          <w:rPr>
            <w:rStyle w:val="Hyperlink"/>
            <w:rFonts w:ascii="Arial" w:hAnsi="Arial" w:eastAsia="Arial" w:cs="Arial"/>
            <w:b w:val="0"/>
            <w:bCs w:val="0"/>
            <w:i w:val="0"/>
            <w:iCs w:val="0"/>
            <w:caps w:val="0"/>
            <w:smallCaps w:val="0"/>
            <w:strike w:val="0"/>
            <w:dstrike w:val="0"/>
            <w:noProof w:val="0"/>
            <w:sz w:val="22"/>
            <w:szCs w:val="22"/>
            <w:lang w:val="en-US"/>
          </w:rPr>
          <w:t xml:space="preserve">Risk </w:t>
        </w:r>
        <w:r w:rsidRPr="4ED11EC8" w:rsidR="7D0EF2CC">
          <w:rPr>
            <w:rStyle w:val="Hyperlink"/>
            <w:rFonts w:ascii="Arial" w:hAnsi="Arial" w:eastAsia="Arial" w:cs="Arial"/>
            <w:b w:val="0"/>
            <w:bCs w:val="0"/>
            <w:i w:val="0"/>
            <w:iCs w:val="0"/>
            <w:caps w:val="0"/>
            <w:smallCaps w:val="0"/>
            <w:strike w:val="0"/>
            <w:dstrike w:val="0"/>
            <w:noProof w:val="0"/>
            <w:sz w:val="22"/>
            <w:szCs w:val="22"/>
            <w:lang w:val="en-US"/>
          </w:rPr>
          <w:t>a</w:t>
        </w:r>
        <w:r w:rsidRPr="4ED11EC8" w:rsidR="4A1F2EA9">
          <w:rPr>
            <w:rStyle w:val="Hyperlink"/>
            <w:rFonts w:ascii="Arial" w:hAnsi="Arial" w:eastAsia="Arial" w:cs="Arial"/>
            <w:b w:val="0"/>
            <w:bCs w:val="0"/>
            <w:i w:val="0"/>
            <w:iCs w:val="0"/>
            <w:caps w:val="0"/>
            <w:smallCaps w:val="0"/>
            <w:strike w:val="0"/>
            <w:dstrike w:val="0"/>
            <w:noProof w:val="0"/>
            <w:sz w:val="22"/>
            <w:szCs w:val="22"/>
            <w:lang w:val="en-US"/>
          </w:rPr>
          <w:t>nalysis impact and vulnerability indicator bank.</w:t>
        </w:r>
      </w:hyperlink>
    </w:p>
    <w:p w:rsidR="4A1F2EA9" w:rsidP="32459100" w:rsidRDefault="4A1F2EA9" w14:paraId="373767FD" w14:textId="355BC8DD">
      <w:pPr>
        <w:spacing w:after="160" w:line="259" w:lineRule="auto"/>
        <w:ind w:left="0"/>
        <w:jc w:val="left"/>
        <w:rPr>
          <w:rFonts w:ascii="Arial" w:hAnsi="Arial" w:eastAsia="Arial" w:cs="Arial"/>
          <w:b w:val="0"/>
          <w:bCs w:val="0"/>
          <w:i w:val="0"/>
          <w:iCs w:val="0"/>
          <w:caps w:val="0"/>
          <w:smallCaps w:val="0"/>
          <w:noProof w:val="0"/>
          <w:color w:val="000000" w:themeColor="text1" w:themeTint="FF" w:themeShade="FF"/>
          <w:sz w:val="20"/>
          <w:szCs w:val="20"/>
          <w:lang w:val="en-US"/>
        </w:rPr>
      </w:pPr>
      <w:r w:rsidRPr="32459100" w:rsidR="4A1F2EA9">
        <w:rPr>
          <w:rFonts w:ascii="Arial" w:hAnsi="Arial" w:eastAsia="Arial" w:cs="Arial"/>
          <w:b w:val="0"/>
          <w:bCs w:val="0"/>
          <w:i w:val="1"/>
          <w:iCs w:val="1"/>
          <w:caps w:val="0"/>
          <w:smallCaps w:val="0"/>
          <w:strike w:val="0"/>
          <w:dstrike w:val="0"/>
          <w:noProof w:val="0"/>
          <w:color w:val="000000" w:themeColor="text1" w:themeTint="FF" w:themeShade="FF"/>
          <w:sz w:val="20"/>
          <w:szCs w:val="20"/>
          <w:u w:val="none"/>
          <w:lang w:val="en-US"/>
        </w:rPr>
        <w:t>Table</w:t>
      </w:r>
      <w:r w:rsidRPr="32459100" w:rsidR="233DFD69">
        <w:rPr>
          <w:rFonts w:ascii="Arial" w:hAnsi="Arial" w:eastAsia="Arial" w:cs="Arial"/>
          <w:b w:val="0"/>
          <w:bCs w:val="0"/>
          <w:i w:val="1"/>
          <w:iCs w:val="1"/>
          <w:caps w:val="0"/>
          <w:smallCaps w:val="0"/>
          <w:strike w:val="0"/>
          <w:dstrike w:val="0"/>
          <w:noProof w:val="0"/>
          <w:color w:val="000000" w:themeColor="text1" w:themeTint="FF" w:themeShade="FF"/>
          <w:sz w:val="20"/>
          <w:szCs w:val="20"/>
          <w:u w:val="none"/>
          <w:lang w:val="en-US"/>
        </w:rPr>
        <w:t xml:space="preserve"> X</w:t>
      </w:r>
      <w:r w:rsidRPr="32459100" w:rsidR="4A1F2EA9">
        <w:rPr>
          <w:rFonts w:ascii="Arial" w:hAnsi="Arial" w:eastAsia="Arial" w:cs="Arial"/>
          <w:b w:val="0"/>
          <w:bCs w:val="0"/>
          <w:i w:val="1"/>
          <w:iCs w:val="1"/>
          <w:caps w:val="0"/>
          <w:smallCaps w:val="0"/>
          <w:strike w:val="0"/>
          <w:dstrike w:val="0"/>
          <w:noProof w:val="0"/>
          <w:color w:val="000000" w:themeColor="text1" w:themeTint="FF" w:themeShade="FF"/>
          <w:sz w:val="20"/>
          <w:szCs w:val="20"/>
          <w:u w:val="none"/>
          <w:lang w:val="en-US"/>
        </w:rPr>
        <w:t xml:space="preserve">: </w:t>
      </w:r>
      <w:r w:rsidRPr="32459100" w:rsidR="43F6BB7A">
        <w:rPr>
          <w:rFonts w:ascii="Arial" w:hAnsi="Arial" w:eastAsia="Arial" w:cs="Arial"/>
          <w:b w:val="0"/>
          <w:bCs w:val="0"/>
          <w:i w:val="1"/>
          <w:iCs w:val="1"/>
          <w:caps w:val="0"/>
          <w:smallCaps w:val="0"/>
          <w:strike w:val="0"/>
          <w:dstrike w:val="0"/>
          <w:noProof w:val="0"/>
          <w:color w:val="000000" w:themeColor="text1" w:themeTint="FF" w:themeShade="FF"/>
          <w:sz w:val="20"/>
          <w:szCs w:val="20"/>
          <w:u w:val="none"/>
          <w:lang w:val="en-US"/>
        </w:rPr>
        <w:t>E</w:t>
      </w:r>
      <w:r w:rsidRPr="32459100" w:rsidR="4A1F2EA9">
        <w:rPr>
          <w:rFonts w:ascii="Arial" w:hAnsi="Arial" w:eastAsia="Arial" w:cs="Arial"/>
          <w:b w:val="0"/>
          <w:bCs w:val="0"/>
          <w:i w:val="1"/>
          <w:iCs w:val="1"/>
          <w:caps w:val="0"/>
          <w:smallCaps w:val="0"/>
          <w:strike w:val="0"/>
          <w:dstrike w:val="0"/>
          <w:noProof w:val="0"/>
          <w:color w:val="000000" w:themeColor="text1" w:themeTint="FF" w:themeShade="FF"/>
          <w:sz w:val="20"/>
          <w:szCs w:val="20"/>
          <w:u w:val="none"/>
          <w:lang w:val="en-US"/>
        </w:rPr>
        <w:t>xamples of pre-existing vulnerabilities and their respective indicators</w:t>
      </w:r>
    </w:p>
    <w:tbl>
      <w:tblPr>
        <w:tblStyle w:val="TableGrid"/>
        <w:tblW w:w="0" w:type="auto"/>
        <w:tblLayout w:type="fixed"/>
        <w:tblLook w:val="06A0" w:firstRow="1" w:lastRow="0" w:firstColumn="1" w:lastColumn="0" w:noHBand="1" w:noVBand="1"/>
      </w:tblPr>
      <w:tblGrid>
        <w:gridCol w:w="1205"/>
        <w:gridCol w:w="3973"/>
        <w:gridCol w:w="4181"/>
      </w:tblGrid>
      <w:tr w:rsidR="3E04A217" w:rsidTr="700D3A33" w14:paraId="1EAF2713">
        <w:trPr>
          <w:trHeight w:val="300"/>
        </w:trPr>
        <w:tc>
          <w:tcPr>
            <w:tcW w:w="1205" w:type="dxa"/>
            <w:tcMar>
              <w:left w:w="90" w:type="dxa"/>
              <w:right w:w="90" w:type="dxa"/>
            </w:tcMar>
            <w:vAlign w:val="top"/>
          </w:tcPr>
          <w:p w:rsidR="3E04A217" w:rsidP="700D3A33" w:rsidRDefault="3E04A217" w14:paraId="6AE8777F" w14:textId="2794AC23">
            <w:pPr>
              <w:spacing w:line="259" w:lineRule="auto"/>
              <w:rPr>
                <w:rFonts w:ascii="Arial" w:hAnsi="Arial" w:eastAsia="Arial" w:cs="Arial"/>
                <w:b w:val="1"/>
                <w:bCs w:val="1"/>
                <w:i w:val="0"/>
                <w:iCs w:val="0"/>
                <w:caps w:val="0"/>
                <w:smallCaps w:val="0"/>
                <w:color w:val="000000" w:themeColor="text1" w:themeTint="FF" w:themeShade="FF"/>
                <w:sz w:val="22"/>
                <w:szCs w:val="22"/>
                <w:lang w:val="en-US"/>
              </w:rPr>
            </w:pPr>
            <w:r w:rsidRPr="700D3A33" w:rsidR="6445DBB3">
              <w:rPr>
                <w:rFonts w:ascii="Arial" w:hAnsi="Arial" w:eastAsia="Arial" w:cs="Arial"/>
                <w:b w:val="1"/>
                <w:bCs w:val="1"/>
                <w:i w:val="0"/>
                <w:iCs w:val="0"/>
                <w:caps w:val="0"/>
                <w:smallCaps w:val="0"/>
                <w:color w:val="000000" w:themeColor="text1" w:themeTint="FF" w:themeShade="FF"/>
                <w:sz w:val="22"/>
                <w:szCs w:val="22"/>
                <w:lang w:val="en-US"/>
              </w:rPr>
              <w:t>Event</w:t>
            </w:r>
          </w:p>
        </w:tc>
        <w:tc>
          <w:tcPr>
            <w:tcW w:w="3973" w:type="dxa"/>
            <w:tcMar>
              <w:left w:w="90" w:type="dxa"/>
              <w:right w:w="90" w:type="dxa"/>
            </w:tcMar>
            <w:vAlign w:val="top"/>
          </w:tcPr>
          <w:p w:rsidR="3E04A217" w:rsidP="3E04A217" w:rsidRDefault="3E04A217" w14:paraId="468304E4" w14:textId="34A2A038">
            <w:pPr>
              <w:spacing w:line="259" w:lineRule="auto"/>
              <w:rPr>
                <w:rFonts w:ascii="Arial" w:hAnsi="Arial" w:eastAsia="Arial" w:cs="Arial"/>
                <w:b w:val="0"/>
                <w:bCs w:val="0"/>
                <w:i w:val="0"/>
                <w:iCs w:val="0"/>
                <w:color w:val="000000" w:themeColor="text1" w:themeTint="FF" w:themeShade="FF"/>
                <w:sz w:val="22"/>
                <w:szCs w:val="22"/>
              </w:rPr>
            </w:pPr>
            <w:r w:rsidRPr="3E04A217" w:rsidR="3E04A217">
              <w:rPr>
                <w:rFonts w:ascii="Arial" w:hAnsi="Arial" w:eastAsia="Arial" w:cs="Arial"/>
                <w:b w:val="1"/>
                <w:bCs w:val="1"/>
                <w:i w:val="0"/>
                <w:iCs w:val="0"/>
                <w:caps w:val="0"/>
                <w:smallCaps w:val="0"/>
                <w:color w:val="000000" w:themeColor="text1" w:themeTint="FF" w:themeShade="FF"/>
                <w:sz w:val="22"/>
                <w:szCs w:val="22"/>
                <w:lang w:val="en-US"/>
              </w:rPr>
              <w:t>Pre-existing vulnerabilities</w:t>
            </w:r>
          </w:p>
        </w:tc>
        <w:tc>
          <w:tcPr>
            <w:tcW w:w="4181" w:type="dxa"/>
            <w:tcMar>
              <w:left w:w="90" w:type="dxa"/>
              <w:right w:w="90" w:type="dxa"/>
            </w:tcMar>
            <w:vAlign w:val="top"/>
          </w:tcPr>
          <w:p w:rsidR="3E04A217" w:rsidP="3E04A217" w:rsidRDefault="3E04A217" w14:paraId="3ED19EC7" w14:textId="11490DEA">
            <w:pPr>
              <w:spacing w:line="259" w:lineRule="auto"/>
              <w:rPr>
                <w:rFonts w:ascii="Arial" w:hAnsi="Arial" w:eastAsia="Arial" w:cs="Arial"/>
                <w:b w:val="0"/>
                <w:bCs w:val="0"/>
                <w:i w:val="0"/>
                <w:iCs w:val="0"/>
                <w:color w:val="000000" w:themeColor="text1" w:themeTint="FF" w:themeShade="FF"/>
                <w:sz w:val="22"/>
                <w:szCs w:val="22"/>
              </w:rPr>
            </w:pPr>
            <w:r w:rsidRPr="3E04A217" w:rsidR="3E04A217">
              <w:rPr>
                <w:rFonts w:ascii="Arial" w:hAnsi="Arial" w:eastAsia="Arial" w:cs="Arial"/>
                <w:b w:val="1"/>
                <w:bCs w:val="1"/>
                <w:i w:val="0"/>
                <w:iCs w:val="0"/>
                <w:caps w:val="0"/>
                <w:smallCaps w:val="0"/>
                <w:color w:val="000000" w:themeColor="text1" w:themeTint="FF" w:themeShade="FF"/>
                <w:sz w:val="22"/>
                <w:szCs w:val="22"/>
                <w:lang w:val="en-US"/>
              </w:rPr>
              <w:t>Vulnerability indicator</w:t>
            </w:r>
          </w:p>
        </w:tc>
      </w:tr>
      <w:tr w:rsidR="3E04A217" w:rsidTr="700D3A33" w14:paraId="25AF9671">
        <w:trPr>
          <w:trHeight w:val="300"/>
        </w:trPr>
        <w:tc>
          <w:tcPr>
            <w:tcW w:w="1205" w:type="dxa"/>
            <w:vMerge w:val="restart"/>
            <w:tcMar>
              <w:left w:w="90" w:type="dxa"/>
              <w:right w:w="90" w:type="dxa"/>
            </w:tcMar>
            <w:vAlign w:val="top"/>
          </w:tcPr>
          <w:p w:rsidR="3E04A217" w:rsidP="3E04A217" w:rsidRDefault="3E04A217" w14:paraId="23CE002B" w14:textId="2C9AD72D">
            <w:pPr>
              <w:spacing w:line="259" w:lineRule="auto"/>
              <w:rPr>
                <w:rFonts w:ascii="Arial" w:hAnsi="Arial" w:eastAsia="Arial" w:cs="Arial"/>
                <w:b w:val="0"/>
                <w:bCs w:val="0"/>
                <w:i w:val="0"/>
                <w:iCs w:val="0"/>
                <w:color w:val="000000" w:themeColor="text1" w:themeTint="FF" w:themeShade="FF"/>
                <w:sz w:val="22"/>
                <w:szCs w:val="22"/>
              </w:rPr>
            </w:pPr>
            <w:r w:rsidRPr="3E04A217" w:rsidR="3E04A217">
              <w:rPr>
                <w:rFonts w:ascii="Arial" w:hAnsi="Arial" w:eastAsia="Arial" w:cs="Arial"/>
                <w:b w:val="1"/>
                <w:bCs w:val="1"/>
                <w:i w:val="0"/>
                <w:iCs w:val="0"/>
                <w:caps w:val="0"/>
                <w:smallCaps w:val="0"/>
                <w:color w:val="000000" w:themeColor="text1" w:themeTint="FF" w:themeShade="FF"/>
                <w:sz w:val="22"/>
                <w:szCs w:val="22"/>
                <w:lang w:val="en-US"/>
              </w:rPr>
              <w:t>Flooding</w:t>
            </w:r>
          </w:p>
        </w:tc>
        <w:tc>
          <w:tcPr>
            <w:tcW w:w="3973" w:type="dxa"/>
            <w:tcMar>
              <w:left w:w="90" w:type="dxa"/>
              <w:right w:w="90" w:type="dxa"/>
            </w:tcMar>
            <w:vAlign w:val="top"/>
          </w:tcPr>
          <w:p w:rsidR="3E04A217" w:rsidP="3E04A217" w:rsidRDefault="3E04A217" w14:paraId="739D994A" w14:textId="49D5C49B">
            <w:pPr>
              <w:spacing w:line="259" w:lineRule="auto"/>
              <w:ind w:left="0"/>
              <w:rPr>
                <w:rFonts w:ascii="Arial" w:hAnsi="Arial" w:eastAsia="Arial" w:cs="Arial"/>
                <w:b w:val="0"/>
                <w:bCs w:val="0"/>
                <w:i w:val="0"/>
                <w:iCs w:val="0"/>
                <w:color w:val="000000" w:themeColor="text1" w:themeTint="FF" w:themeShade="FF"/>
                <w:sz w:val="22"/>
                <w:szCs w:val="22"/>
              </w:rPr>
            </w:pPr>
            <w:r w:rsidRPr="3E04A217" w:rsidR="3E04A217">
              <w:rPr>
                <w:rFonts w:ascii="Arial" w:hAnsi="Arial" w:eastAsia="Arial" w:cs="Arial"/>
                <w:b w:val="0"/>
                <w:bCs w:val="0"/>
                <w:i w:val="0"/>
                <w:iCs w:val="0"/>
                <w:caps w:val="0"/>
                <w:smallCaps w:val="0"/>
                <w:color w:val="000000" w:themeColor="text1" w:themeTint="FF" w:themeShade="FF"/>
                <w:sz w:val="22"/>
                <w:szCs w:val="22"/>
                <w:lang w:val="en-US"/>
              </w:rPr>
              <w:t xml:space="preserve">Lack of recovery from </w:t>
            </w:r>
            <w:r w:rsidRPr="3E04A217" w:rsidR="3E04A217">
              <w:rPr>
                <w:rFonts w:ascii="Arial" w:hAnsi="Arial" w:eastAsia="Arial" w:cs="Arial"/>
                <w:b w:val="0"/>
                <w:bCs w:val="0"/>
                <w:i w:val="0"/>
                <w:iCs w:val="0"/>
                <w:caps w:val="0"/>
                <w:smallCaps w:val="0"/>
                <w:color w:val="000000" w:themeColor="text1" w:themeTint="FF" w:themeShade="FF"/>
                <w:sz w:val="22"/>
                <w:szCs w:val="22"/>
                <w:lang w:val="en-US"/>
              </w:rPr>
              <w:t>previous</w:t>
            </w:r>
            <w:r w:rsidRPr="3E04A217" w:rsidR="3E04A217">
              <w:rPr>
                <w:rFonts w:ascii="Arial" w:hAnsi="Arial" w:eastAsia="Arial" w:cs="Arial"/>
                <w:b w:val="0"/>
                <w:bCs w:val="0"/>
                <w:i w:val="0"/>
                <w:iCs w:val="0"/>
                <w:caps w:val="0"/>
                <w:smallCaps w:val="0"/>
                <w:color w:val="000000" w:themeColor="text1" w:themeTint="FF" w:themeShade="FF"/>
                <w:sz w:val="22"/>
                <w:szCs w:val="22"/>
                <w:lang w:val="en-US"/>
              </w:rPr>
              <w:t xml:space="preserve"> flooding increasing the impact of the current flooding on programming</w:t>
            </w:r>
          </w:p>
          <w:p w:rsidR="3E04A217" w:rsidP="3E04A217" w:rsidRDefault="3E04A217" w14:paraId="60446309" w14:textId="06652B83">
            <w:pPr>
              <w:spacing w:line="259" w:lineRule="auto"/>
              <w:ind w:left="0"/>
              <w:rPr>
                <w:rFonts w:ascii="Arial" w:hAnsi="Arial" w:eastAsia="Arial" w:cs="Arial"/>
                <w:b w:val="0"/>
                <w:bCs w:val="0"/>
                <w:i w:val="0"/>
                <w:iCs w:val="0"/>
                <w:color w:val="000000" w:themeColor="text1" w:themeTint="FF" w:themeShade="FF"/>
                <w:sz w:val="22"/>
                <w:szCs w:val="22"/>
              </w:rPr>
            </w:pPr>
          </w:p>
        </w:tc>
        <w:tc>
          <w:tcPr>
            <w:tcW w:w="4181" w:type="dxa"/>
            <w:tcMar>
              <w:left w:w="90" w:type="dxa"/>
              <w:right w:w="90" w:type="dxa"/>
            </w:tcMar>
            <w:vAlign w:val="top"/>
          </w:tcPr>
          <w:p w:rsidR="3E04A217" w:rsidP="3E04A217" w:rsidRDefault="3E04A217" w14:paraId="475507EB" w14:textId="4D1C7151">
            <w:pPr>
              <w:spacing w:line="259" w:lineRule="auto"/>
              <w:ind w:left="0"/>
              <w:rPr>
                <w:rFonts w:ascii="Arial" w:hAnsi="Arial" w:eastAsia="Arial" w:cs="Arial"/>
                <w:b w:val="0"/>
                <w:bCs w:val="0"/>
                <w:i w:val="0"/>
                <w:iCs w:val="0"/>
                <w:color w:val="000000" w:themeColor="text1" w:themeTint="FF" w:themeShade="FF"/>
                <w:sz w:val="22"/>
                <w:szCs w:val="22"/>
              </w:rPr>
            </w:pPr>
            <w:r w:rsidRPr="3E04A217" w:rsidR="3E04A217">
              <w:rPr>
                <w:rFonts w:ascii="Arial" w:hAnsi="Arial" w:eastAsia="Arial" w:cs="Arial"/>
                <w:b w:val="0"/>
                <w:bCs w:val="0"/>
                <w:i w:val="0"/>
                <w:iCs w:val="0"/>
                <w:caps w:val="0"/>
                <w:smallCaps w:val="0"/>
                <w:color w:val="000000" w:themeColor="text1" w:themeTint="FF" w:themeShade="FF"/>
                <w:sz w:val="22"/>
                <w:szCs w:val="22"/>
                <w:lang w:val="en-US"/>
              </w:rPr>
              <w:t>% of households affected by flooding in the program area</w:t>
            </w:r>
          </w:p>
          <w:p w:rsidR="3E04A217" w:rsidP="3E04A217" w:rsidRDefault="3E04A217" w14:paraId="7F7B8B05" w14:textId="1A554510">
            <w:pPr>
              <w:spacing w:line="259" w:lineRule="auto"/>
              <w:ind w:left="0"/>
              <w:rPr>
                <w:rFonts w:ascii="Arial" w:hAnsi="Arial" w:eastAsia="Arial" w:cs="Arial"/>
                <w:b w:val="0"/>
                <w:bCs w:val="0"/>
                <w:i w:val="0"/>
                <w:iCs w:val="0"/>
                <w:color w:val="000000" w:themeColor="text1" w:themeTint="FF" w:themeShade="FF"/>
                <w:sz w:val="22"/>
                <w:szCs w:val="22"/>
              </w:rPr>
            </w:pPr>
            <w:r w:rsidRPr="3E04A217" w:rsidR="3E04A217">
              <w:rPr>
                <w:rFonts w:ascii="Arial" w:hAnsi="Arial" w:eastAsia="Arial" w:cs="Arial"/>
                <w:b w:val="0"/>
                <w:bCs w:val="0"/>
                <w:i w:val="0"/>
                <w:iCs w:val="0"/>
                <w:caps w:val="0"/>
                <w:smallCaps w:val="0"/>
                <w:color w:val="000000" w:themeColor="text1" w:themeTint="FF" w:themeShade="FF"/>
                <w:sz w:val="22"/>
                <w:szCs w:val="22"/>
                <w:lang w:val="en-US"/>
              </w:rPr>
              <w:t>% of land used for agriculture affected by flooding in the program area</w:t>
            </w:r>
          </w:p>
        </w:tc>
      </w:tr>
      <w:tr w:rsidR="3E04A217" w:rsidTr="700D3A33" w14:paraId="6BF226A2">
        <w:trPr>
          <w:trHeight w:val="840"/>
        </w:trPr>
        <w:tc>
          <w:tcPr>
            <w:tcW w:w="1205" w:type="dxa"/>
            <w:vMerge/>
            <w:tcBorders/>
            <w:tcMar/>
            <w:vAlign w:val="center"/>
          </w:tcPr>
          <w:p w14:paraId="5663FA27"/>
        </w:tc>
        <w:tc>
          <w:tcPr>
            <w:tcW w:w="3973" w:type="dxa"/>
            <w:tcMar>
              <w:left w:w="90" w:type="dxa"/>
              <w:right w:w="90" w:type="dxa"/>
            </w:tcMar>
            <w:vAlign w:val="top"/>
          </w:tcPr>
          <w:p w:rsidR="3E04A217" w:rsidP="3E04A217" w:rsidRDefault="3E04A217" w14:paraId="10E13D76" w14:textId="3C363BF3">
            <w:pPr>
              <w:spacing w:line="259" w:lineRule="auto"/>
              <w:ind w:left="0"/>
              <w:rPr>
                <w:rFonts w:ascii="Arial" w:hAnsi="Arial" w:eastAsia="Arial" w:cs="Arial"/>
                <w:b w:val="0"/>
                <w:bCs w:val="0"/>
                <w:i w:val="0"/>
                <w:iCs w:val="0"/>
                <w:color w:val="000000" w:themeColor="text1" w:themeTint="FF" w:themeShade="FF"/>
                <w:sz w:val="22"/>
                <w:szCs w:val="22"/>
              </w:rPr>
            </w:pPr>
            <w:r w:rsidRPr="3E04A217" w:rsidR="3E04A217">
              <w:rPr>
                <w:rFonts w:ascii="Arial" w:hAnsi="Arial" w:eastAsia="Arial" w:cs="Arial"/>
                <w:b w:val="0"/>
                <w:bCs w:val="0"/>
                <w:i w:val="0"/>
                <w:iCs w:val="0"/>
                <w:caps w:val="0"/>
                <w:smallCaps w:val="0"/>
                <w:color w:val="000000" w:themeColor="text1" w:themeTint="FF" w:themeShade="FF"/>
                <w:sz w:val="22"/>
                <w:szCs w:val="22"/>
                <w:lang w:val="en-US"/>
              </w:rPr>
              <w:t>Untarmacked roads increasing the risk of roads to be damaged during flooding</w:t>
            </w:r>
          </w:p>
        </w:tc>
        <w:tc>
          <w:tcPr>
            <w:tcW w:w="4181" w:type="dxa"/>
            <w:tcMar>
              <w:left w:w="90" w:type="dxa"/>
              <w:right w:w="90" w:type="dxa"/>
            </w:tcMar>
            <w:vAlign w:val="top"/>
          </w:tcPr>
          <w:p w:rsidR="3E04A217" w:rsidP="3E04A217" w:rsidRDefault="3E04A217" w14:paraId="4F5479B9" w14:textId="6C3010A5">
            <w:pPr>
              <w:spacing w:line="259" w:lineRule="auto"/>
              <w:ind w:left="0"/>
              <w:rPr>
                <w:rFonts w:ascii="Arial" w:hAnsi="Arial" w:eastAsia="Arial" w:cs="Arial"/>
                <w:b w:val="0"/>
                <w:bCs w:val="0"/>
                <w:i w:val="0"/>
                <w:iCs w:val="0"/>
                <w:color w:val="000000" w:themeColor="text1" w:themeTint="FF" w:themeShade="FF"/>
                <w:sz w:val="22"/>
                <w:szCs w:val="22"/>
              </w:rPr>
            </w:pPr>
            <w:r w:rsidRPr="3E04A217" w:rsidR="3E04A217">
              <w:rPr>
                <w:rFonts w:ascii="Arial" w:hAnsi="Arial" w:eastAsia="Arial" w:cs="Arial"/>
                <w:b w:val="0"/>
                <w:bCs w:val="0"/>
                <w:i w:val="0"/>
                <w:iCs w:val="0"/>
                <w:caps w:val="0"/>
                <w:smallCaps w:val="0"/>
                <w:color w:val="000000" w:themeColor="text1" w:themeTint="FF" w:themeShade="FF"/>
                <w:sz w:val="22"/>
                <w:szCs w:val="22"/>
                <w:lang w:val="en-US"/>
              </w:rPr>
              <w:t xml:space="preserve"># of roads untarmacked relevant to the program indicators </w:t>
            </w:r>
          </w:p>
        </w:tc>
      </w:tr>
      <w:tr w:rsidR="3E04A217" w:rsidTr="700D3A33" w14:paraId="5058B13C">
        <w:trPr>
          <w:trHeight w:val="840"/>
        </w:trPr>
        <w:tc>
          <w:tcPr>
            <w:tcW w:w="1205" w:type="dxa"/>
            <w:vMerge/>
            <w:tcBorders/>
            <w:tcMar/>
            <w:vAlign w:val="center"/>
          </w:tcPr>
          <w:p w14:paraId="3E57C101"/>
        </w:tc>
        <w:tc>
          <w:tcPr>
            <w:tcW w:w="3973" w:type="dxa"/>
            <w:tcMar>
              <w:left w:w="90" w:type="dxa"/>
              <w:right w:w="90" w:type="dxa"/>
            </w:tcMar>
            <w:vAlign w:val="top"/>
          </w:tcPr>
          <w:p w:rsidR="3E04A217" w:rsidP="3E04A217" w:rsidRDefault="3E04A217" w14:paraId="46B12F3D" w14:textId="66823620">
            <w:pPr>
              <w:spacing w:line="259" w:lineRule="auto"/>
              <w:ind w:left="0"/>
              <w:rPr>
                <w:rFonts w:ascii="Arial" w:hAnsi="Arial" w:eastAsia="Arial" w:cs="Arial"/>
                <w:b w:val="0"/>
                <w:bCs w:val="0"/>
                <w:i w:val="0"/>
                <w:iCs w:val="0"/>
                <w:color w:val="000000" w:themeColor="text1" w:themeTint="FF" w:themeShade="FF"/>
                <w:sz w:val="22"/>
                <w:szCs w:val="22"/>
              </w:rPr>
            </w:pPr>
            <w:r w:rsidRPr="3E04A217" w:rsidR="3E04A217">
              <w:rPr>
                <w:rFonts w:ascii="Arial" w:hAnsi="Arial" w:eastAsia="Arial" w:cs="Arial"/>
                <w:b w:val="0"/>
                <w:bCs w:val="0"/>
                <w:i w:val="0"/>
                <w:iCs w:val="0"/>
                <w:caps w:val="0"/>
                <w:smallCaps w:val="0"/>
                <w:color w:val="000000" w:themeColor="text1" w:themeTint="FF" w:themeShade="FF"/>
                <w:sz w:val="22"/>
                <w:szCs w:val="22"/>
                <w:lang w:val="en-US"/>
              </w:rPr>
              <w:t>Single source</w:t>
            </w:r>
            <w:r w:rsidRPr="3E04A217" w:rsidR="3E04A217">
              <w:rPr>
                <w:rFonts w:ascii="Arial" w:hAnsi="Arial" w:eastAsia="Arial" w:cs="Arial"/>
                <w:b w:val="0"/>
                <w:bCs w:val="0"/>
                <w:i w:val="0"/>
                <w:iCs w:val="0"/>
                <w:caps w:val="0"/>
                <w:smallCaps w:val="0"/>
                <w:color w:val="000000" w:themeColor="text1" w:themeTint="FF" w:themeShade="FF"/>
                <w:sz w:val="22"/>
                <w:szCs w:val="22"/>
                <w:lang w:val="en-US"/>
              </w:rPr>
              <w:t xml:space="preserve"> income (e.g., female headed households) making household more vulnerable to disruptions of livelihoods </w:t>
            </w:r>
          </w:p>
        </w:tc>
        <w:tc>
          <w:tcPr>
            <w:tcW w:w="4181" w:type="dxa"/>
            <w:tcMar>
              <w:left w:w="90" w:type="dxa"/>
              <w:right w:w="90" w:type="dxa"/>
            </w:tcMar>
            <w:vAlign w:val="top"/>
          </w:tcPr>
          <w:p w:rsidR="3E04A217" w:rsidP="3E04A217" w:rsidRDefault="3E04A217" w14:paraId="0D3CA2FB" w14:textId="3904C36B">
            <w:pPr>
              <w:spacing w:line="259" w:lineRule="auto"/>
              <w:ind w:left="0"/>
              <w:rPr>
                <w:rFonts w:ascii="Arial" w:hAnsi="Arial" w:eastAsia="Arial" w:cs="Arial"/>
                <w:b w:val="0"/>
                <w:bCs w:val="0"/>
                <w:i w:val="0"/>
                <w:iCs w:val="0"/>
                <w:color w:val="000000" w:themeColor="text1" w:themeTint="FF" w:themeShade="FF"/>
                <w:sz w:val="22"/>
                <w:szCs w:val="22"/>
              </w:rPr>
            </w:pPr>
            <w:r w:rsidRPr="3E04A217" w:rsidR="3E04A217">
              <w:rPr>
                <w:rFonts w:ascii="Arial" w:hAnsi="Arial" w:eastAsia="Arial" w:cs="Arial"/>
                <w:b w:val="0"/>
                <w:bCs w:val="0"/>
                <w:i w:val="0"/>
                <w:iCs w:val="0"/>
                <w:caps w:val="0"/>
                <w:smallCaps w:val="0"/>
                <w:color w:val="000000" w:themeColor="text1" w:themeTint="FF" w:themeShade="FF"/>
                <w:sz w:val="22"/>
                <w:szCs w:val="22"/>
                <w:lang w:val="en-US"/>
              </w:rPr>
              <w:t>% of female headed households in the program area</w:t>
            </w:r>
          </w:p>
        </w:tc>
      </w:tr>
      <w:tr w:rsidR="3E04A217" w:rsidTr="700D3A33" w14:paraId="58B7E7C6">
        <w:trPr>
          <w:trHeight w:val="840"/>
        </w:trPr>
        <w:tc>
          <w:tcPr>
            <w:tcW w:w="1205" w:type="dxa"/>
            <w:vMerge/>
            <w:tcBorders/>
            <w:tcMar/>
            <w:vAlign w:val="center"/>
          </w:tcPr>
          <w:p w14:paraId="67F5E745"/>
        </w:tc>
        <w:tc>
          <w:tcPr>
            <w:tcW w:w="3973" w:type="dxa"/>
            <w:tcMar>
              <w:left w:w="90" w:type="dxa"/>
              <w:right w:w="90" w:type="dxa"/>
            </w:tcMar>
            <w:vAlign w:val="top"/>
          </w:tcPr>
          <w:p w:rsidR="3E04A217" w:rsidP="3E04A217" w:rsidRDefault="3E04A217" w14:paraId="4C77B9E8" w14:textId="53ED7525">
            <w:pPr>
              <w:spacing w:line="259" w:lineRule="auto"/>
              <w:ind w:left="0"/>
              <w:rPr>
                <w:rFonts w:ascii="Arial" w:hAnsi="Arial" w:eastAsia="Arial" w:cs="Arial"/>
                <w:b w:val="0"/>
                <w:bCs w:val="0"/>
                <w:i w:val="0"/>
                <w:iCs w:val="0"/>
                <w:color w:val="000000" w:themeColor="text1" w:themeTint="FF" w:themeShade="FF"/>
                <w:sz w:val="22"/>
                <w:szCs w:val="22"/>
              </w:rPr>
            </w:pPr>
            <w:r w:rsidRPr="3E04A217" w:rsidR="3E04A217">
              <w:rPr>
                <w:rFonts w:ascii="Arial" w:hAnsi="Arial" w:eastAsia="Arial" w:cs="Arial"/>
                <w:b w:val="0"/>
                <w:bCs w:val="0"/>
                <w:i w:val="0"/>
                <w:iCs w:val="0"/>
                <w:caps w:val="0"/>
                <w:smallCaps w:val="0"/>
                <w:color w:val="000000" w:themeColor="text1" w:themeTint="FF" w:themeShade="FF"/>
                <w:sz w:val="22"/>
                <w:szCs w:val="22"/>
                <w:lang w:val="en-US"/>
              </w:rPr>
              <w:t>Poor WASH infrastructures making water collection points, and latrines susceptible to damage during flooding</w:t>
            </w:r>
          </w:p>
        </w:tc>
        <w:tc>
          <w:tcPr>
            <w:tcW w:w="4181" w:type="dxa"/>
            <w:tcMar>
              <w:left w:w="90" w:type="dxa"/>
              <w:right w:w="90" w:type="dxa"/>
            </w:tcMar>
            <w:vAlign w:val="top"/>
          </w:tcPr>
          <w:p w:rsidR="3E04A217" w:rsidP="3E04A217" w:rsidRDefault="3E04A217" w14:paraId="7A295561" w14:textId="4BC35AAF">
            <w:pPr>
              <w:spacing w:line="259" w:lineRule="auto"/>
              <w:ind w:left="0"/>
              <w:rPr>
                <w:rFonts w:ascii="Arial" w:hAnsi="Arial" w:eastAsia="Arial" w:cs="Arial"/>
                <w:b w:val="0"/>
                <w:bCs w:val="0"/>
                <w:i w:val="0"/>
                <w:iCs w:val="0"/>
                <w:color w:val="000000" w:themeColor="text1" w:themeTint="FF" w:themeShade="FF"/>
                <w:sz w:val="22"/>
                <w:szCs w:val="22"/>
              </w:rPr>
            </w:pPr>
            <w:r w:rsidRPr="3E04A217" w:rsidR="3E04A217">
              <w:rPr>
                <w:rFonts w:ascii="Arial" w:hAnsi="Arial" w:eastAsia="Arial" w:cs="Arial"/>
                <w:b w:val="0"/>
                <w:bCs w:val="0"/>
                <w:i w:val="0"/>
                <w:iCs w:val="0"/>
                <w:caps w:val="0"/>
                <w:smallCaps w:val="0"/>
                <w:color w:val="000000" w:themeColor="text1" w:themeTint="FF" w:themeShade="FF"/>
                <w:sz w:val="22"/>
                <w:szCs w:val="22"/>
                <w:lang w:val="en-US"/>
              </w:rPr>
              <w:t>% of unfunctional WASH infrastructures (water collection points and specific types of latrines in the program area</w:t>
            </w:r>
          </w:p>
        </w:tc>
      </w:tr>
    </w:tbl>
    <w:p w:rsidR="08C0CE7D" w:rsidP="08C0CE7D" w:rsidRDefault="08C0CE7D" w14:paraId="5F9AD4BB" w14:textId="4B863655">
      <w:pPr>
        <w:pStyle w:val="Normal"/>
        <w:spacing w:before="0" w:beforeAutospacing="off" w:after="160" w:afterAutospacing="off" w:line="259" w:lineRule="auto"/>
        <w:ind w:right="0"/>
        <w:jc w:val="left"/>
        <w:rPr>
          <w:rFonts w:ascii="Arial" w:hAnsi="Arial" w:eastAsia="Arial" w:cs="Arial"/>
          <w:b w:val="0"/>
          <w:bCs w:val="0"/>
          <w:i w:val="0"/>
          <w:iCs w:val="0"/>
          <w:caps w:val="0"/>
          <w:smallCaps w:val="0"/>
          <w:noProof w:val="0"/>
          <w:color w:val="000000" w:themeColor="text1" w:themeTint="FF" w:themeShade="FF"/>
          <w:sz w:val="22"/>
          <w:szCs w:val="22"/>
          <w:lang w:val="en-US"/>
        </w:rPr>
      </w:pPr>
    </w:p>
    <w:p w:rsidR="4A1F2EA9" w:rsidP="08C0CE7D" w:rsidRDefault="4A1F2EA9" w14:paraId="669BC008" w14:textId="0D8B3103">
      <w:pPr>
        <w:pStyle w:val="Normal"/>
        <w:spacing w:before="0" w:beforeAutospacing="off" w:after="160" w:afterAutospacing="off" w:line="259" w:lineRule="auto"/>
        <w:ind w:right="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08C0CE7D" w:rsidR="4A1F2EA9">
        <w:rPr>
          <w:rFonts w:ascii="Arial" w:hAnsi="Arial" w:eastAsia="Arial" w:cs="Arial"/>
          <w:b w:val="0"/>
          <w:bCs w:val="0"/>
          <w:i w:val="0"/>
          <w:iCs w:val="0"/>
          <w:caps w:val="0"/>
          <w:smallCaps w:val="0"/>
          <w:noProof w:val="0"/>
          <w:color w:val="000000" w:themeColor="text1" w:themeTint="FF" w:themeShade="FF"/>
          <w:sz w:val="22"/>
          <w:szCs w:val="22"/>
          <w:lang w:val="en-US"/>
        </w:rPr>
        <w:t>Once vulnerability indicators have been agreed upon, relevant data sources should be identified, to be able to provide the needed information for the indicators to be mapped.</w:t>
      </w:r>
      <w:r w:rsidRPr="08C0CE7D" w:rsidR="4A1F2EA9">
        <w:rPr>
          <w:rFonts w:ascii="Arial" w:hAnsi="Arial" w:eastAsia="Arial" w:cs="Arial"/>
          <w:b w:val="0"/>
          <w:bCs w:val="0"/>
          <w:i w:val="0"/>
          <w:iCs w:val="0"/>
          <w:caps w:val="0"/>
          <w:smallCaps w:val="0"/>
          <w:noProof w:val="0"/>
          <w:color w:val="000000" w:themeColor="text1" w:themeTint="FF" w:themeShade="FF"/>
          <w:sz w:val="22"/>
          <w:szCs w:val="22"/>
          <w:lang w:val="en-US"/>
        </w:rPr>
        <w:t xml:space="preserve"> </w:t>
      </w:r>
    </w:p>
    <w:p w:rsidR="66CE64B5" w:rsidP="08C0CE7D" w:rsidRDefault="66CE64B5" w14:paraId="3D9C2B0E" w14:textId="26782699">
      <w:pPr>
        <w:jc w:val="both"/>
        <w:rPr>
          <w:rFonts w:ascii="Arial" w:hAnsi="Arial" w:eastAsia="Arial" w:cs="Arial"/>
          <w:noProof w:val="0"/>
          <w:color w:val="000000" w:themeColor="text1" w:themeTint="FF" w:themeShade="FF"/>
          <w:sz w:val="22"/>
          <w:szCs w:val="22"/>
          <w:lang w:val="en-US"/>
        </w:rPr>
      </w:pPr>
      <w:r w:rsidRPr="36AD6DCA" w:rsidR="66CE64B5">
        <w:rPr>
          <w:rFonts w:ascii="Arial" w:hAnsi="Arial" w:eastAsia="Arial" w:cs="Arial"/>
          <w:noProof w:val="0"/>
          <w:color w:val="000000" w:themeColor="text1" w:themeTint="FF" w:themeShade="FF"/>
          <w:sz w:val="22"/>
          <w:szCs w:val="22"/>
          <w:lang w:val="en-US"/>
        </w:rPr>
        <w:t>The added value of adding pre-existing vulnerable is to increase the visibility of how the events you are monitoring may affect your program. This is e</w:t>
      </w:r>
      <w:r w:rsidRPr="36AD6DCA" w:rsidR="43B9E52E">
        <w:rPr>
          <w:rFonts w:ascii="Arial" w:hAnsi="Arial" w:eastAsia="Arial" w:cs="Arial"/>
          <w:noProof w:val="0"/>
          <w:color w:val="000000" w:themeColor="text1" w:themeTint="FF" w:themeShade="FF"/>
          <w:sz w:val="22"/>
          <w:szCs w:val="22"/>
          <w:lang w:val="en-US"/>
        </w:rPr>
        <w:t>specially cri</w:t>
      </w:r>
      <w:r w:rsidRPr="36AD6DCA" w:rsidR="66CE64B5">
        <w:rPr>
          <w:rFonts w:ascii="Arial" w:hAnsi="Arial" w:eastAsia="Arial" w:cs="Arial"/>
          <w:noProof w:val="0"/>
          <w:color w:val="000000" w:themeColor="text1" w:themeTint="FF" w:themeShade="FF"/>
          <w:sz w:val="22"/>
          <w:szCs w:val="22"/>
          <w:lang w:val="en-US"/>
        </w:rPr>
        <w:t xml:space="preserve">tical when all of this is being done remotely, as you cannot easily travel to the affected area to understand if the flooding is critical. With this information already on your map it should ideally enhance </w:t>
      </w:r>
      <w:r w:rsidRPr="36AD6DCA" w:rsidR="66CE64B5">
        <w:rPr>
          <w:rFonts w:ascii="Arial" w:hAnsi="Arial" w:eastAsia="Arial" w:cs="Arial"/>
          <w:noProof w:val="0"/>
          <w:color w:val="000000" w:themeColor="text1" w:themeTint="FF" w:themeShade="FF"/>
          <w:sz w:val="22"/>
          <w:szCs w:val="22"/>
          <w:lang w:val="en-US"/>
        </w:rPr>
        <w:t>timely</w:t>
      </w:r>
      <w:r w:rsidRPr="36AD6DCA" w:rsidR="66CE64B5">
        <w:rPr>
          <w:rFonts w:ascii="Arial" w:hAnsi="Arial" w:eastAsia="Arial" w:cs="Arial"/>
          <w:noProof w:val="0"/>
          <w:color w:val="000000" w:themeColor="text1" w:themeTint="FF" w:themeShade="FF"/>
          <w:sz w:val="22"/>
          <w:szCs w:val="22"/>
          <w:lang w:val="en-US"/>
        </w:rPr>
        <w:t xml:space="preserve"> decision making and </w:t>
      </w:r>
      <w:r w:rsidRPr="36AD6DCA" w:rsidR="66CE64B5">
        <w:rPr>
          <w:rFonts w:ascii="Arial" w:hAnsi="Arial" w:eastAsia="Arial" w:cs="Arial"/>
          <w:noProof w:val="0"/>
          <w:color w:val="000000" w:themeColor="text1" w:themeTint="FF" w:themeShade="FF"/>
          <w:sz w:val="22"/>
          <w:szCs w:val="22"/>
          <w:lang w:val="en-US"/>
        </w:rPr>
        <w:t>provide</w:t>
      </w:r>
      <w:r w:rsidRPr="36AD6DCA" w:rsidR="66CE64B5">
        <w:rPr>
          <w:rFonts w:ascii="Arial" w:hAnsi="Arial" w:eastAsia="Arial" w:cs="Arial"/>
          <w:noProof w:val="0"/>
          <w:color w:val="000000" w:themeColor="text1" w:themeTint="FF" w:themeShade="FF"/>
          <w:sz w:val="22"/>
          <w:szCs w:val="22"/>
          <w:lang w:val="en-US"/>
        </w:rPr>
        <w:t xml:space="preserve"> relevant information to </w:t>
      </w:r>
      <w:r w:rsidRPr="36AD6DCA" w:rsidR="66CE64B5">
        <w:rPr>
          <w:rFonts w:ascii="Arial" w:hAnsi="Arial" w:eastAsia="Arial" w:cs="Arial"/>
          <w:noProof w:val="0"/>
          <w:color w:val="000000" w:themeColor="text1" w:themeTint="FF" w:themeShade="FF"/>
          <w:sz w:val="22"/>
          <w:szCs w:val="22"/>
          <w:lang w:val="en-US"/>
        </w:rPr>
        <w:t>your</w:t>
      </w:r>
      <w:r w:rsidRPr="36AD6DCA" w:rsidR="66CE64B5">
        <w:rPr>
          <w:rFonts w:ascii="Arial" w:hAnsi="Arial" w:eastAsia="Arial" w:cs="Arial"/>
          <w:noProof w:val="0"/>
          <w:color w:val="000000" w:themeColor="text1" w:themeTint="FF" w:themeShade="FF"/>
          <w:sz w:val="22"/>
          <w:szCs w:val="22"/>
          <w:lang w:val="en-US"/>
        </w:rPr>
        <w:t xml:space="preserve"> decision makers. </w:t>
      </w:r>
    </w:p>
    <w:p w:rsidR="7A434BC0" w:rsidP="32459100" w:rsidRDefault="7A434BC0" w14:paraId="13991FEF" w14:textId="4C896EB3">
      <w:pPr>
        <w:spacing w:before="0" w:beforeAutospacing="off" w:after="160" w:afterAutospacing="off" w:line="259" w:lineRule="auto"/>
        <w:ind/>
        <w:jc w:val="both"/>
        <w:rPr>
          <w:rFonts w:ascii="Arial" w:hAnsi="Arial" w:eastAsia="Arial" w:cs="Arial"/>
          <w:noProof w:val="0"/>
          <w:color w:val="000000" w:themeColor="text1" w:themeTint="FF" w:themeShade="FF"/>
          <w:sz w:val="22"/>
          <w:szCs w:val="22"/>
          <w:lang w:val="en-US"/>
        </w:rPr>
      </w:pPr>
      <w:r w:rsidRPr="32459100" w:rsidR="66CE64B5">
        <w:rPr>
          <w:rFonts w:ascii="Arial" w:hAnsi="Arial" w:eastAsia="Arial" w:cs="Arial"/>
          <w:noProof w:val="0"/>
          <w:color w:val="000000" w:themeColor="text1" w:themeTint="FF" w:themeShade="FF"/>
          <w:sz w:val="22"/>
          <w:szCs w:val="22"/>
          <w:lang w:val="en-US"/>
        </w:rPr>
        <w:t xml:space="preserve">The idea is that the contextual factors we will </w:t>
      </w:r>
      <w:r w:rsidRPr="32459100" w:rsidR="66CE64B5">
        <w:rPr>
          <w:rFonts w:ascii="Arial" w:hAnsi="Arial" w:eastAsia="Arial" w:cs="Arial"/>
          <w:noProof w:val="0"/>
          <w:color w:val="000000" w:themeColor="text1" w:themeTint="FF" w:themeShade="FF"/>
          <w:sz w:val="22"/>
          <w:szCs w:val="22"/>
          <w:lang w:val="en-US"/>
        </w:rPr>
        <w:t>monitor</w:t>
      </w:r>
      <w:r w:rsidRPr="32459100" w:rsidR="66CE64B5">
        <w:rPr>
          <w:rFonts w:ascii="Arial" w:hAnsi="Arial" w:eastAsia="Arial" w:cs="Arial"/>
          <w:noProof w:val="0"/>
          <w:color w:val="000000" w:themeColor="text1" w:themeTint="FF" w:themeShade="FF"/>
          <w:sz w:val="22"/>
          <w:szCs w:val="22"/>
          <w:lang w:val="en-US"/>
        </w:rPr>
        <w:t xml:space="preserve"> is a subset of all potential contextual factors, and then the vulnerabilities are drawn from that subset. The context map is then created with those vulnerabilities to start with, and then regular updates and event-triggered updates happen across time.</w:t>
      </w:r>
    </w:p>
    <w:p w:rsidR="4A1F2EA9" w:rsidP="2AD8FB5E" w:rsidRDefault="4A1F2EA9" w14:paraId="3C8CBEC6" w14:textId="320ECA56">
      <w:pPr>
        <w:pStyle w:val="Normal"/>
        <w:spacing w:after="160" w:line="259" w:lineRule="auto"/>
        <w:ind w:left="0"/>
        <w:jc w:val="both"/>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US"/>
        </w:rPr>
      </w:pPr>
    </w:p>
    <w:sectPr>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32">
    <w:nsid w:val="173d43d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69454fc6"/>
    <w:multiLevelType xmlns:w="http://schemas.openxmlformats.org/wordprocessingml/2006/main" w:val="hybridMultilevel"/>
    <w:lvl xmlns:w="http://schemas.openxmlformats.org/wordprocessingml/2006/main" w:ilvl="0">
      <w:start w:val="6"/>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0">
    <w:nsid w:val="65d82652"/>
    <w:multiLevelType xmlns:w="http://schemas.openxmlformats.org/wordprocessingml/2006/main" w:val="hybridMultilevel"/>
    <w:lvl xmlns:w="http://schemas.openxmlformats.org/wordprocessingml/2006/main" w:ilvl="0">
      <w:start w:val="5"/>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9">
    <w:nsid w:val="571a8e03"/>
    <w:multiLevelType xmlns:w="http://schemas.openxmlformats.org/wordprocessingml/2006/main" w:val="hybridMultilevel"/>
    <w:lvl xmlns:w="http://schemas.openxmlformats.org/wordprocessingml/2006/main" w:ilvl="0">
      <w:start w:val="4"/>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8">
    <w:nsid w:val="16d95f00"/>
    <w:multiLevelType xmlns:w="http://schemas.openxmlformats.org/wordprocessingml/2006/main" w:val="hybridMultilevel"/>
    <w:lvl xmlns:w="http://schemas.openxmlformats.org/wordprocessingml/2006/main" w:ilvl="0">
      <w:start w:val="3"/>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7">
    <w:nsid w:val="32d1c179"/>
    <w:multiLevelType xmlns:w="http://schemas.openxmlformats.org/wordprocessingml/2006/main" w:val="hybridMultilevel"/>
    <w:lvl xmlns:w="http://schemas.openxmlformats.org/wordprocessingml/2006/main" w:ilvl="0">
      <w:start w:val="2"/>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6">
    <w:nsid w:val="1542d38d"/>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5">
    <w:nsid w:val="79d603e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4225907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5088b5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274ac5c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5adf1e9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5ba02e5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6d014ce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4598127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30632a5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1d6c479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7c4233d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55ede85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449ff51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533f3b4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7546664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4d51af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2583ab7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270fb3d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74d744f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caa6251"/>
    <w:multiLevelType xmlns:w="http://schemas.openxmlformats.org/wordprocessingml/2006/main" w:val="hybridMultilevel"/>
    <w:lvl xmlns:w="http://schemas.openxmlformats.org/wordprocessingml/2006/main" w:ilvl="0">
      <w:start w:val="1"/>
      <w:numFmt w:val="decimal"/>
      <w:lvlText w:val="%1."/>
      <w:lvlJc w:val="left"/>
      <w:pPr>
        <w:ind w:left="360" w:hanging="360"/>
      </w:pPr>
    </w:lvl>
    <w:lvl xmlns:w="http://schemas.openxmlformats.org/wordprocessingml/2006/main" w:ilvl="1">
      <w:start w:val="1"/>
      <w:numFmt w:val="lowerLetter"/>
      <w:lvlText w:val="%2."/>
      <w:lvlJc w:val="left"/>
      <w:pPr>
        <w:ind w:left="1080" w:hanging="360"/>
      </w:pPr>
    </w:lvl>
    <w:lvl xmlns:w="http://schemas.openxmlformats.org/wordprocessingml/2006/main" w:ilvl="2">
      <w:start w:val="1"/>
      <w:numFmt w:val="lowerRoman"/>
      <w:lvlText w:val="%3."/>
      <w:lvlJc w:val="right"/>
      <w:pPr>
        <w:ind w:left="1800" w:hanging="180"/>
      </w:pPr>
    </w:lvl>
    <w:lvl xmlns:w="http://schemas.openxmlformats.org/wordprocessingml/2006/main" w:ilvl="3">
      <w:start w:val="1"/>
      <w:numFmt w:val="decimal"/>
      <w:lvlText w:val="%4."/>
      <w:lvlJc w:val="left"/>
      <w:pPr>
        <w:ind w:left="2520" w:hanging="360"/>
      </w:pPr>
    </w:lvl>
    <w:lvl xmlns:w="http://schemas.openxmlformats.org/wordprocessingml/2006/main" w:ilvl="4">
      <w:start w:val="1"/>
      <w:numFmt w:val="lowerLetter"/>
      <w:lvlText w:val="%5."/>
      <w:lvlJc w:val="left"/>
      <w:pPr>
        <w:ind w:left="3240" w:hanging="360"/>
      </w:pPr>
    </w:lvl>
    <w:lvl xmlns:w="http://schemas.openxmlformats.org/wordprocessingml/2006/main" w:ilvl="5">
      <w:start w:val="1"/>
      <w:numFmt w:val="lowerRoman"/>
      <w:lvlText w:val="%6."/>
      <w:lvlJc w:val="right"/>
      <w:pPr>
        <w:ind w:left="3960" w:hanging="180"/>
      </w:pPr>
    </w:lvl>
    <w:lvl xmlns:w="http://schemas.openxmlformats.org/wordprocessingml/2006/main" w:ilvl="6">
      <w:start w:val="1"/>
      <w:numFmt w:val="decimal"/>
      <w:lvlText w:val="%7."/>
      <w:lvlJc w:val="left"/>
      <w:pPr>
        <w:ind w:left="4680" w:hanging="360"/>
      </w:pPr>
    </w:lvl>
    <w:lvl xmlns:w="http://schemas.openxmlformats.org/wordprocessingml/2006/main" w:ilvl="7">
      <w:start w:val="1"/>
      <w:numFmt w:val="lowerLetter"/>
      <w:lvlText w:val="%8."/>
      <w:lvlJc w:val="left"/>
      <w:pPr>
        <w:ind w:left="5400" w:hanging="360"/>
      </w:pPr>
    </w:lvl>
    <w:lvl xmlns:w="http://schemas.openxmlformats.org/wordprocessingml/2006/main" w:ilvl="8">
      <w:start w:val="1"/>
      <w:numFmt w:val="lowerRoman"/>
      <w:lvlText w:val="%9."/>
      <w:lvlJc w:val="right"/>
      <w:pPr>
        <w:ind w:left="6120" w:hanging="180"/>
      </w:pPr>
    </w:lvl>
  </w:abstractNum>
  <w:abstractNum xmlns:w="http://schemas.openxmlformats.org/wordprocessingml/2006/main" w:abstractNumId="5">
    <w:nsid w:val="379e1477"/>
    <w:multiLevelType xmlns:w="http://schemas.openxmlformats.org/wordprocessingml/2006/main" w:val="hybridMultilevel"/>
    <w:lvl xmlns:w="http://schemas.openxmlformats.org/wordprocessingml/2006/main" w:ilvl="0">
      <w:start w:val="3"/>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rPr/>
    </w:lvl>
    <w:lvl xmlns:w="http://schemas.openxmlformats.org/wordprocessingml/2006/main" w:ilvl="2">
      <w:start w:val="1"/>
      <w:numFmt w:val="lowerRoman"/>
      <w:lvlText w:val="%3."/>
      <w:lvlJc w:val="right"/>
      <w:pPr>
        <w:ind w:left="2160" w:hanging="180"/>
      </w:pPr>
      <w:rPr/>
    </w:lvl>
    <w:lvl xmlns:w="http://schemas.openxmlformats.org/wordprocessingml/2006/main" w:ilvl="3">
      <w:start w:val="1"/>
      <w:numFmt w:val="decimal"/>
      <w:lvlText w:val="%4."/>
      <w:lvlJc w:val="left"/>
      <w:pPr>
        <w:ind w:left="2880" w:hanging="360"/>
      </w:pPr>
      <w:rPr/>
    </w:lvl>
    <w:lvl xmlns:w="http://schemas.openxmlformats.org/wordprocessingml/2006/main" w:ilvl="4">
      <w:start w:val="1"/>
      <w:numFmt w:val="lowerLetter"/>
      <w:lvlText w:val="%5."/>
      <w:lvlJc w:val="left"/>
      <w:pPr>
        <w:ind w:left="3600" w:hanging="360"/>
      </w:pPr>
      <w:rPr/>
    </w:lvl>
    <w:lvl xmlns:w="http://schemas.openxmlformats.org/wordprocessingml/2006/main" w:ilvl="5">
      <w:start w:val="1"/>
      <w:numFmt w:val="lowerRoman"/>
      <w:lvlText w:val="%6."/>
      <w:lvlJc w:val="right"/>
      <w:pPr>
        <w:ind w:left="4320" w:hanging="180"/>
      </w:pPr>
      <w:rPr/>
    </w:lvl>
    <w:lvl xmlns:w="http://schemas.openxmlformats.org/wordprocessingml/2006/main" w:ilvl="6">
      <w:start w:val="1"/>
      <w:numFmt w:val="decimal"/>
      <w:lvlText w:val="%7."/>
      <w:lvlJc w:val="left"/>
      <w:pPr>
        <w:ind w:left="5040" w:hanging="360"/>
      </w:pPr>
      <w:rPr/>
    </w:lvl>
    <w:lvl xmlns:w="http://schemas.openxmlformats.org/wordprocessingml/2006/main" w:ilvl="7">
      <w:start w:val="1"/>
      <w:numFmt w:val="lowerLetter"/>
      <w:lvlText w:val="%8."/>
      <w:lvlJc w:val="left"/>
      <w:pPr>
        <w:ind w:left="5760" w:hanging="360"/>
      </w:pPr>
      <w:rPr/>
    </w:lvl>
    <w:lvl xmlns:w="http://schemas.openxmlformats.org/wordprocessingml/2006/main" w:ilvl="8">
      <w:start w:val="1"/>
      <w:numFmt w:val="lowerRoman"/>
      <w:lvlText w:val="%9."/>
      <w:lvlJc w:val="right"/>
      <w:pPr>
        <w:ind w:left="6480" w:hanging="180"/>
      </w:pPr>
      <w:rPr/>
    </w:lvl>
  </w:abstractNum>
  <w:abstractNum xmlns:w="http://schemas.openxmlformats.org/wordprocessingml/2006/main" w:abstractNumId="4">
    <w:nsid w:val="57f60c9b"/>
    <w:multiLevelType xmlns:w="http://schemas.openxmlformats.org/wordprocessingml/2006/main" w:val="hybridMultilevel"/>
    <w:lvl xmlns:w="http://schemas.openxmlformats.org/wordprocessingml/2006/main" w:ilvl="0">
      <w:start w:val="2"/>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rPr/>
    </w:lvl>
    <w:lvl xmlns:w="http://schemas.openxmlformats.org/wordprocessingml/2006/main" w:ilvl="2">
      <w:start w:val="1"/>
      <w:numFmt w:val="lowerRoman"/>
      <w:lvlText w:val="%3."/>
      <w:lvlJc w:val="right"/>
      <w:pPr>
        <w:ind w:left="2160" w:hanging="180"/>
      </w:pPr>
      <w:rPr/>
    </w:lvl>
    <w:lvl xmlns:w="http://schemas.openxmlformats.org/wordprocessingml/2006/main" w:ilvl="3">
      <w:start w:val="1"/>
      <w:numFmt w:val="decimal"/>
      <w:lvlText w:val="%4."/>
      <w:lvlJc w:val="left"/>
      <w:pPr>
        <w:ind w:left="2880" w:hanging="360"/>
      </w:pPr>
      <w:rPr/>
    </w:lvl>
    <w:lvl xmlns:w="http://schemas.openxmlformats.org/wordprocessingml/2006/main" w:ilvl="4">
      <w:start w:val="1"/>
      <w:numFmt w:val="lowerLetter"/>
      <w:lvlText w:val="%5."/>
      <w:lvlJc w:val="left"/>
      <w:pPr>
        <w:ind w:left="3600" w:hanging="360"/>
      </w:pPr>
      <w:rPr/>
    </w:lvl>
    <w:lvl xmlns:w="http://schemas.openxmlformats.org/wordprocessingml/2006/main" w:ilvl="5">
      <w:start w:val="1"/>
      <w:numFmt w:val="lowerRoman"/>
      <w:lvlText w:val="%6."/>
      <w:lvlJc w:val="right"/>
      <w:pPr>
        <w:ind w:left="4320" w:hanging="180"/>
      </w:pPr>
      <w:rPr/>
    </w:lvl>
    <w:lvl xmlns:w="http://schemas.openxmlformats.org/wordprocessingml/2006/main" w:ilvl="6">
      <w:start w:val="1"/>
      <w:numFmt w:val="decimal"/>
      <w:lvlText w:val="%7."/>
      <w:lvlJc w:val="left"/>
      <w:pPr>
        <w:ind w:left="5040" w:hanging="360"/>
      </w:pPr>
      <w:rPr/>
    </w:lvl>
    <w:lvl xmlns:w="http://schemas.openxmlformats.org/wordprocessingml/2006/main" w:ilvl="7">
      <w:start w:val="1"/>
      <w:numFmt w:val="lowerLetter"/>
      <w:lvlText w:val="%8."/>
      <w:lvlJc w:val="left"/>
      <w:pPr>
        <w:ind w:left="5760" w:hanging="360"/>
      </w:pPr>
      <w:rPr/>
    </w:lvl>
    <w:lvl xmlns:w="http://schemas.openxmlformats.org/wordprocessingml/2006/main" w:ilvl="8">
      <w:start w:val="1"/>
      <w:numFmt w:val="lowerRoman"/>
      <w:lvlText w:val="%9."/>
      <w:lvlJc w:val="right"/>
      <w:pPr>
        <w:ind w:left="6480" w:hanging="180"/>
      </w:pPr>
      <w:rPr/>
    </w:lvl>
  </w:abstractNum>
  <w:abstractNum xmlns:w="http://schemas.openxmlformats.org/wordprocessingml/2006/main" w:abstractNumId="3">
    <w:nsid w:val="61f3778c"/>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rPr/>
    </w:lvl>
    <w:lvl xmlns:w="http://schemas.openxmlformats.org/wordprocessingml/2006/main" w:ilvl="2">
      <w:start w:val="1"/>
      <w:numFmt w:val="lowerRoman"/>
      <w:lvlText w:val="%3."/>
      <w:lvlJc w:val="right"/>
      <w:pPr>
        <w:ind w:left="2160" w:hanging="180"/>
      </w:pPr>
      <w:rPr/>
    </w:lvl>
    <w:lvl xmlns:w="http://schemas.openxmlformats.org/wordprocessingml/2006/main" w:ilvl="3">
      <w:start w:val="1"/>
      <w:numFmt w:val="decimal"/>
      <w:lvlText w:val="%4."/>
      <w:lvlJc w:val="left"/>
      <w:pPr>
        <w:ind w:left="2880" w:hanging="360"/>
      </w:pPr>
      <w:rPr/>
    </w:lvl>
    <w:lvl xmlns:w="http://schemas.openxmlformats.org/wordprocessingml/2006/main" w:ilvl="4">
      <w:start w:val="1"/>
      <w:numFmt w:val="lowerLetter"/>
      <w:lvlText w:val="%5."/>
      <w:lvlJc w:val="left"/>
      <w:pPr>
        <w:ind w:left="3600" w:hanging="360"/>
      </w:pPr>
      <w:rPr/>
    </w:lvl>
    <w:lvl xmlns:w="http://schemas.openxmlformats.org/wordprocessingml/2006/main" w:ilvl="5">
      <w:start w:val="1"/>
      <w:numFmt w:val="lowerRoman"/>
      <w:lvlText w:val="%6."/>
      <w:lvlJc w:val="right"/>
      <w:pPr>
        <w:ind w:left="4320" w:hanging="180"/>
      </w:pPr>
      <w:rPr/>
    </w:lvl>
    <w:lvl xmlns:w="http://schemas.openxmlformats.org/wordprocessingml/2006/main" w:ilvl="6">
      <w:start w:val="1"/>
      <w:numFmt w:val="decimal"/>
      <w:lvlText w:val="%7."/>
      <w:lvlJc w:val="left"/>
      <w:pPr>
        <w:ind w:left="5040" w:hanging="360"/>
      </w:pPr>
      <w:rPr/>
    </w:lvl>
    <w:lvl xmlns:w="http://schemas.openxmlformats.org/wordprocessingml/2006/main" w:ilvl="7">
      <w:start w:val="1"/>
      <w:numFmt w:val="lowerLetter"/>
      <w:lvlText w:val="%8."/>
      <w:lvlJc w:val="left"/>
      <w:pPr>
        <w:ind w:left="5760" w:hanging="360"/>
      </w:pPr>
      <w:rPr/>
    </w:lvl>
    <w:lvl xmlns:w="http://schemas.openxmlformats.org/wordprocessingml/2006/main" w:ilvl="8">
      <w:start w:val="1"/>
      <w:numFmt w:val="lowerRoman"/>
      <w:lvlText w:val="%9."/>
      <w:lvlJc w:val="right"/>
      <w:pPr>
        <w:ind w:left="6480" w:hanging="180"/>
      </w:pPr>
      <w:rPr/>
    </w:lvl>
  </w:abstractNum>
  <w:abstractNum xmlns:w="http://schemas.openxmlformats.org/wordprocessingml/2006/main" w:abstractNumId="2">
    <w:nsid w:val="34ee461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5b0cc06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32">
    <w:abstractNumId w:val="32"/>
  </w:num>
  <w:num w:numId="31">
    <w:abstractNumId w:val="31"/>
  </w:num>
  <w:num w:numId="30">
    <w:abstractNumId w:val="30"/>
  </w:num>
  <w:num w:numId="29">
    <w:abstractNumId w:val="29"/>
  </w:num>
  <w:num w:numId="28">
    <w:abstractNumId w:val="28"/>
  </w:num>
  <w:num w:numId="27">
    <w:abstractNumId w:val="27"/>
  </w:num>
  <w:num w:numId="26">
    <w:abstractNumId w:val="26"/>
  </w:num>
  <w:num w:numId="25">
    <w:abstractNumId w:val="25"/>
  </w:num>
  <w:num w:numId="24">
    <w:abstractNumId w:val="24"/>
  </w:num>
  <w:num w:numId="23">
    <w:abstractNumId w:val="23"/>
  </w:num>
  <w:num w:numId="22">
    <w:abstractNumId w:val="22"/>
  </w:num>
  <w:num w:numId="21">
    <w:abstractNumId w:val="21"/>
  </w:num>
  <w:num w:numId="20">
    <w:abstractNumId w:val="20"/>
  </w: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1C54A05"/>
    <w:rsid w:val="0086E9ED"/>
    <w:rsid w:val="008BCAF0"/>
    <w:rsid w:val="011E0A00"/>
    <w:rsid w:val="015A03EE"/>
    <w:rsid w:val="01C7074F"/>
    <w:rsid w:val="01E62EF9"/>
    <w:rsid w:val="02115661"/>
    <w:rsid w:val="0266ED7E"/>
    <w:rsid w:val="02A3B8BA"/>
    <w:rsid w:val="0480891B"/>
    <w:rsid w:val="04863293"/>
    <w:rsid w:val="049A59B0"/>
    <w:rsid w:val="049A59B0"/>
    <w:rsid w:val="04FEA811"/>
    <w:rsid w:val="04FEA811"/>
    <w:rsid w:val="05005A5B"/>
    <w:rsid w:val="05633783"/>
    <w:rsid w:val="059C9DE5"/>
    <w:rsid w:val="07750A16"/>
    <w:rsid w:val="07C215C9"/>
    <w:rsid w:val="07C9CCD3"/>
    <w:rsid w:val="08C0CE7D"/>
    <w:rsid w:val="09804826"/>
    <w:rsid w:val="09A3B5EE"/>
    <w:rsid w:val="0A036EA4"/>
    <w:rsid w:val="0A2BCF88"/>
    <w:rsid w:val="0AF072D7"/>
    <w:rsid w:val="0B83B97F"/>
    <w:rsid w:val="0C0B7E23"/>
    <w:rsid w:val="0C273995"/>
    <w:rsid w:val="0D4F84CB"/>
    <w:rsid w:val="0DB5BCFA"/>
    <w:rsid w:val="0E0569A3"/>
    <w:rsid w:val="0E4B6869"/>
    <w:rsid w:val="0F861A30"/>
    <w:rsid w:val="0FA04AEF"/>
    <w:rsid w:val="0FA43F9E"/>
    <w:rsid w:val="0FD73E39"/>
    <w:rsid w:val="0FF02EB5"/>
    <w:rsid w:val="10828536"/>
    <w:rsid w:val="10E16DD1"/>
    <w:rsid w:val="10F5D80D"/>
    <w:rsid w:val="111407C8"/>
    <w:rsid w:val="111EB6DB"/>
    <w:rsid w:val="12F6758F"/>
    <w:rsid w:val="12FBD919"/>
    <w:rsid w:val="1318DFCF"/>
    <w:rsid w:val="144BA88A"/>
    <w:rsid w:val="1497A97A"/>
    <w:rsid w:val="16C32FE2"/>
    <w:rsid w:val="178B36D2"/>
    <w:rsid w:val="178B36D2"/>
    <w:rsid w:val="17AB5CD4"/>
    <w:rsid w:val="17F09DC5"/>
    <w:rsid w:val="19388ED4"/>
    <w:rsid w:val="1962B7CD"/>
    <w:rsid w:val="1AA9AF37"/>
    <w:rsid w:val="1B480879"/>
    <w:rsid w:val="1B480879"/>
    <w:rsid w:val="1C5A993E"/>
    <w:rsid w:val="1CFFDEF3"/>
    <w:rsid w:val="1DBF2865"/>
    <w:rsid w:val="1DDD3BBB"/>
    <w:rsid w:val="1E1D07CD"/>
    <w:rsid w:val="1F641A1E"/>
    <w:rsid w:val="1F7D205A"/>
    <w:rsid w:val="208BBC7E"/>
    <w:rsid w:val="2092579A"/>
    <w:rsid w:val="20DE1704"/>
    <w:rsid w:val="215E214F"/>
    <w:rsid w:val="21C54A05"/>
    <w:rsid w:val="21DEACAD"/>
    <w:rsid w:val="21F227E7"/>
    <w:rsid w:val="22B02DD5"/>
    <w:rsid w:val="233DFD69"/>
    <w:rsid w:val="2380E362"/>
    <w:rsid w:val="23F586D0"/>
    <w:rsid w:val="2405BFD6"/>
    <w:rsid w:val="2469B9DA"/>
    <w:rsid w:val="2469B9DA"/>
    <w:rsid w:val="24A9F0EB"/>
    <w:rsid w:val="2574CF4F"/>
    <w:rsid w:val="25AFC5F1"/>
    <w:rsid w:val="261C08AB"/>
    <w:rsid w:val="26A0E28E"/>
    <w:rsid w:val="26B6B678"/>
    <w:rsid w:val="26C935AE"/>
    <w:rsid w:val="27A15A9C"/>
    <w:rsid w:val="27B5EFC4"/>
    <w:rsid w:val="29471B59"/>
    <w:rsid w:val="29552C5E"/>
    <w:rsid w:val="29930403"/>
    <w:rsid w:val="29AE1160"/>
    <w:rsid w:val="29F99E36"/>
    <w:rsid w:val="29F99E36"/>
    <w:rsid w:val="2A05A7D6"/>
    <w:rsid w:val="2A37EB95"/>
    <w:rsid w:val="2AD8FB5E"/>
    <w:rsid w:val="2C230DCC"/>
    <w:rsid w:val="2C3146E6"/>
    <w:rsid w:val="2C560DE3"/>
    <w:rsid w:val="2CCAA4C5"/>
    <w:rsid w:val="2E990CE1"/>
    <w:rsid w:val="2F16701A"/>
    <w:rsid w:val="30FB4201"/>
    <w:rsid w:val="3197960D"/>
    <w:rsid w:val="31CC79FF"/>
    <w:rsid w:val="32459100"/>
    <w:rsid w:val="3333666E"/>
    <w:rsid w:val="33639D2C"/>
    <w:rsid w:val="34CF36CF"/>
    <w:rsid w:val="34D290CE"/>
    <w:rsid w:val="3506AC01"/>
    <w:rsid w:val="356D64E0"/>
    <w:rsid w:val="35759C4D"/>
    <w:rsid w:val="369DB223"/>
    <w:rsid w:val="36AD6DCA"/>
    <w:rsid w:val="3769497C"/>
    <w:rsid w:val="37790DA6"/>
    <w:rsid w:val="37C27DC2"/>
    <w:rsid w:val="381F6876"/>
    <w:rsid w:val="3864AE44"/>
    <w:rsid w:val="389218FC"/>
    <w:rsid w:val="389A51ED"/>
    <w:rsid w:val="39053474"/>
    <w:rsid w:val="393B7E3B"/>
    <w:rsid w:val="3982232C"/>
    <w:rsid w:val="3AE79B5E"/>
    <w:rsid w:val="3BF5C1F5"/>
    <w:rsid w:val="3CBF7F87"/>
    <w:rsid w:val="3CFF59AB"/>
    <w:rsid w:val="3D3C8540"/>
    <w:rsid w:val="3D983D24"/>
    <w:rsid w:val="3E04A217"/>
    <w:rsid w:val="3F041190"/>
    <w:rsid w:val="3F118010"/>
    <w:rsid w:val="3FE27F32"/>
    <w:rsid w:val="40590B74"/>
    <w:rsid w:val="405E64A3"/>
    <w:rsid w:val="40825C5E"/>
    <w:rsid w:val="409399FE"/>
    <w:rsid w:val="41E204BB"/>
    <w:rsid w:val="4347E968"/>
    <w:rsid w:val="43B9E52E"/>
    <w:rsid w:val="43F6BB7A"/>
    <w:rsid w:val="44983A58"/>
    <w:rsid w:val="44CA916C"/>
    <w:rsid w:val="450E3360"/>
    <w:rsid w:val="45889D65"/>
    <w:rsid w:val="45BF4735"/>
    <w:rsid w:val="45E1E5F0"/>
    <w:rsid w:val="475B1796"/>
    <w:rsid w:val="4802322E"/>
    <w:rsid w:val="483BF742"/>
    <w:rsid w:val="483F127B"/>
    <w:rsid w:val="48489B1F"/>
    <w:rsid w:val="48A648E2"/>
    <w:rsid w:val="49D7C7A3"/>
    <w:rsid w:val="49D7C7A3"/>
    <w:rsid w:val="4A1F2EA9"/>
    <w:rsid w:val="4A289EB0"/>
    <w:rsid w:val="4A8BF73A"/>
    <w:rsid w:val="4A99E62D"/>
    <w:rsid w:val="4B39D2F0"/>
    <w:rsid w:val="4B5C89A3"/>
    <w:rsid w:val="4C5AA22B"/>
    <w:rsid w:val="4CD1918E"/>
    <w:rsid w:val="4DFDB207"/>
    <w:rsid w:val="4ED11EC8"/>
    <w:rsid w:val="4FBEA92E"/>
    <w:rsid w:val="4FCAD6E0"/>
    <w:rsid w:val="500D4413"/>
    <w:rsid w:val="51A11801"/>
    <w:rsid w:val="52C4CB11"/>
    <w:rsid w:val="52D9AA7F"/>
    <w:rsid w:val="52EB909D"/>
    <w:rsid w:val="5325FC4B"/>
    <w:rsid w:val="541FF13B"/>
    <w:rsid w:val="543A4898"/>
    <w:rsid w:val="549F4803"/>
    <w:rsid w:val="55B43968"/>
    <w:rsid w:val="5684731D"/>
    <w:rsid w:val="57556C6D"/>
    <w:rsid w:val="58FCCD19"/>
    <w:rsid w:val="591C271C"/>
    <w:rsid w:val="5949CF31"/>
    <w:rsid w:val="59537DE5"/>
    <w:rsid w:val="59B8960C"/>
    <w:rsid w:val="5C645664"/>
    <w:rsid w:val="5C645664"/>
    <w:rsid w:val="5D9918C1"/>
    <w:rsid w:val="5E8713A4"/>
    <w:rsid w:val="5EB86D39"/>
    <w:rsid w:val="5F9BF726"/>
    <w:rsid w:val="61B3DF25"/>
    <w:rsid w:val="61F9E611"/>
    <w:rsid w:val="637771BF"/>
    <w:rsid w:val="63D1B33E"/>
    <w:rsid w:val="6445DBB3"/>
    <w:rsid w:val="64B1394C"/>
    <w:rsid w:val="650556AC"/>
    <w:rsid w:val="65F42A49"/>
    <w:rsid w:val="66C53689"/>
    <w:rsid w:val="66CE64B5"/>
    <w:rsid w:val="66F70E17"/>
    <w:rsid w:val="69052D51"/>
    <w:rsid w:val="69ABD537"/>
    <w:rsid w:val="69B34F1F"/>
    <w:rsid w:val="6A71AD8A"/>
    <w:rsid w:val="6A84C51E"/>
    <w:rsid w:val="6A8B801D"/>
    <w:rsid w:val="6B39B47A"/>
    <w:rsid w:val="6C48A2A0"/>
    <w:rsid w:val="6D1A29A3"/>
    <w:rsid w:val="6DADE4AB"/>
    <w:rsid w:val="6E3F595E"/>
    <w:rsid w:val="6E6293C0"/>
    <w:rsid w:val="6E71553C"/>
    <w:rsid w:val="6EAB0B72"/>
    <w:rsid w:val="6F28D0FA"/>
    <w:rsid w:val="6F98F293"/>
    <w:rsid w:val="6FD41F42"/>
    <w:rsid w:val="6FF427AF"/>
    <w:rsid w:val="700D3A33"/>
    <w:rsid w:val="703CCC6A"/>
    <w:rsid w:val="711C13C3"/>
    <w:rsid w:val="7134C2F4"/>
    <w:rsid w:val="71C9D43D"/>
    <w:rsid w:val="71D97906"/>
    <w:rsid w:val="729CB8F1"/>
    <w:rsid w:val="7344C65F"/>
    <w:rsid w:val="73746D2C"/>
    <w:rsid w:val="73AB9132"/>
    <w:rsid w:val="73F0CE33"/>
    <w:rsid w:val="746C63B6"/>
    <w:rsid w:val="746C63B6"/>
    <w:rsid w:val="74B434C7"/>
    <w:rsid w:val="74E096C0"/>
    <w:rsid w:val="7511A1D6"/>
    <w:rsid w:val="757FAEB8"/>
    <w:rsid w:val="76FBF70A"/>
    <w:rsid w:val="772F36BB"/>
    <w:rsid w:val="775701B7"/>
    <w:rsid w:val="778B5547"/>
    <w:rsid w:val="78F2D218"/>
    <w:rsid w:val="7A434BC0"/>
    <w:rsid w:val="7AC2F609"/>
    <w:rsid w:val="7AC81A2C"/>
    <w:rsid w:val="7ADBE3C8"/>
    <w:rsid w:val="7B0BB8D7"/>
    <w:rsid w:val="7B6B7169"/>
    <w:rsid w:val="7C234EE5"/>
    <w:rsid w:val="7C2A72DA"/>
    <w:rsid w:val="7C2A72DA"/>
    <w:rsid w:val="7C30FCF6"/>
    <w:rsid w:val="7CF3962B"/>
    <w:rsid w:val="7D0EF2CC"/>
    <w:rsid w:val="7D3A53D6"/>
    <w:rsid w:val="7FAAE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54A05"/>
  <w15:chartTrackingRefBased/>
  <w15:docId w15:val="{4D0A4A1B-F130-44C8-94DC-BFF1BD57B0D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numbering" Target="numbering.xml" Id="Rb885f028c9f84598" /><Relationship Type="http://schemas.openxmlformats.org/officeDocument/2006/relationships/fontTable" Target="fontTable.xml" Id="rId4" /><Relationship Type="http://schemas.microsoft.com/office/2011/relationships/people" Target="people.xml" Id="Rd446f684fb2347af" /><Relationship Type="http://schemas.microsoft.com/office/2011/relationships/commentsExtended" Target="commentsExtended.xml" Id="Rbd43c31f04364324" /><Relationship Type="http://schemas.microsoft.com/office/2016/09/relationships/commentsIds" Target="commentsIds.xml" Id="R9c2d067634de4ace" /><Relationship Type="http://schemas.openxmlformats.org/officeDocument/2006/relationships/hyperlink" Target="https://mercycorpsemea.sharepoint.com/:x:/r/sites/PaQHQ/_layouts/15/Doc.aspx?sourcedoc=%7B6AAE4ED9-2FBA-4CCC-9B3E-825F0C2577E8%7D&amp;file=Impact%20and%20vulnerability%20indicator%20bank.xlsx&amp;action=default&amp;mobileredirect=true" TargetMode="External" Id="R7b51a4b5cf114932" /><Relationship Type="http://schemas.openxmlformats.org/officeDocument/2006/relationships/image" Target="/media/image2.png" Id="R2b9f85eee6a7417d" /><Relationship Type="http://schemas.openxmlformats.org/officeDocument/2006/relationships/hyperlink" Target="https://mercycorpsemea.sharepoint.com/sites/PaQHQ/_layouts/15/doc.aspx?sourcedoc={68c50ca2-aff9-4e1d-af57-54884f7d0aed}&amp;action=edit" TargetMode="External" Id="R64a5dbe866c6422b" /><Relationship Type="http://schemas.openxmlformats.org/officeDocument/2006/relationships/hyperlink" Target="https://www.impact-repository.org/document/reach/feedf020/REACH_SSD_Terms-of-Reference_WASH_InfrastructureMapping_May2021_External.pdf" TargetMode="External" Id="R227386118d034f2a" /><Relationship Type="http://schemas.openxmlformats.org/officeDocument/2006/relationships/hyperlink" Target="https://mercycorpsemea.sharepoint.com/:w:/r/sites/paqhq/_layouts/15/doc.aspx?sourcedoc=%7Bcccd03f8-50fb-4e42-9d75-9c355d5cfec2%7D&amp;file=program%20indicator%20mapping%20-%20%20facilitation%20guide%20and%20questionnaire%20route.docx&amp;action=default&amp;mobileredirect=true&amp;cid=663ab333-caeb-4864-986d-b24f02d706b4" TargetMode="External" Id="Rb5f6ba85690e42e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9" ma:contentTypeDescription="Create a new document." ma:contentTypeScope="" ma:versionID="2726769c9492f780cd8b15e3f1c27525">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0203a34a807b604e975f139e93c1f30c"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element ref="ns2:Notes" minOccurs="0"/>
                <xsd:element ref="ns2:MediaServiceSearchProperties" minOccurs="0"/>
                <xsd:element ref="ns2:Foldersort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FY Month" ma:format="Dropdown" ma:internalName="Indicator_x0023_" ma:percentage="FALSE">
      <xsd:simpleType>
        <xsd:restriction base="dms:Number"/>
      </xsd:simpleType>
    </xsd:element>
    <xsd:element name="Notes" ma:index="24" nillable="true" ma:displayName="Notes" ma:format="Dropdown" ma:internalName="Notes">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oldersortorder" ma:index="26" nillable="true" ma:displayName="Folder sort order" ma:format="Dropdown" ma:internalName="Foldersortorde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SharedWithUsers xmlns="3d2dd2c6-932b-4822-9dbd-d0669e617e0f">
      <UserInfo>
        <DisplayName/>
        <AccountId xsi:nil="true"/>
        <AccountType/>
      </UserInfo>
    </SharedWithUsers>
    <name xmlns="4e0316ce-b060-4817-b5f5-6985416301e8" xsi:nil="true"/>
    <Notes xmlns="4e0316ce-b060-4817-b5f5-6985416301e8" xsi:nil="true"/>
    <Indicator_x0023_ xmlns="4e0316ce-b060-4817-b5f5-6985416301e8" xsi:nil="true"/>
    <Foldersortorder xmlns="4e0316ce-b060-4817-b5f5-6985416301e8" xsi:nil="true"/>
  </documentManagement>
</p:properties>
</file>

<file path=customXml/itemProps1.xml><?xml version="1.0" encoding="utf-8"?>
<ds:datastoreItem xmlns:ds="http://schemas.openxmlformats.org/officeDocument/2006/customXml" ds:itemID="{E3471647-F92C-4835-A7B0-B82DD6AB0C5B}"/>
</file>

<file path=customXml/itemProps2.xml><?xml version="1.0" encoding="utf-8"?>
<ds:datastoreItem xmlns:ds="http://schemas.openxmlformats.org/officeDocument/2006/customXml" ds:itemID="{21DC294F-EE0B-4B3D-AACB-C630599EC6A1}"/>
</file>

<file path=customXml/itemProps3.xml><?xml version="1.0" encoding="utf-8"?>
<ds:datastoreItem xmlns:ds="http://schemas.openxmlformats.org/officeDocument/2006/customXml" ds:itemID="{8586A0C8-96C5-44F1-A293-31979996F2C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Jannie Nielsen</dc:creator>
  <keywords/>
  <dc:description/>
  <lastModifiedBy>RAAM Toolkit</lastModifiedBy>
  <dcterms:created xsi:type="dcterms:W3CDTF">2023-03-20T12:27:05.0000000Z</dcterms:created>
  <dcterms:modified xsi:type="dcterms:W3CDTF">2024-09-18T19:52:32.8576280Z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0x010100EA539BD1588B074F94C31E3D50DCF215</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